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15FF76" w14:textId="0F91A2A5" w:rsidR="00A00BFC" w:rsidRPr="00656D36" w:rsidRDefault="002E4915" w:rsidP="00A00BFC">
      <w:pPr>
        <w:pStyle w:val="Heading1"/>
        <w:jc w:val="center"/>
        <w:rPr>
          <w:rFonts w:asciiTheme="majorBidi" w:eastAsia="Mongolian Baiti" w:hAnsiTheme="majorBidi" w:cstheme="majorBidi"/>
          <w:szCs w:val="24"/>
        </w:rPr>
      </w:pPr>
      <w:bookmarkStart w:id="0" w:name="_GoBack"/>
      <w:bookmarkEnd w:id="0"/>
      <w:r w:rsidRPr="00656D36">
        <w:rPr>
          <w:rFonts w:asciiTheme="majorBidi" w:eastAsia="Mongolian Baiti" w:hAnsiTheme="majorBidi" w:cstheme="majorBidi"/>
          <w:b/>
          <w:caps/>
          <w:szCs w:val="24"/>
        </w:rPr>
        <w:t>Antisemitism in European Culture</w:t>
      </w:r>
    </w:p>
    <w:p w14:paraId="7A231C54" w14:textId="77777777" w:rsidR="00645ADD" w:rsidRPr="00EB2ABB" w:rsidRDefault="00645ADD" w:rsidP="00645ADD">
      <w:pPr>
        <w:spacing w:line="240" w:lineRule="atLeast"/>
        <w:rPr>
          <w:rFonts w:asciiTheme="majorBidi" w:hAnsiTheme="majorBidi" w:cstheme="majorBidi"/>
          <w:color w:val="000000"/>
          <w:sz w:val="22"/>
          <w:szCs w:val="22"/>
        </w:rPr>
      </w:pPr>
    </w:p>
    <w:p w14:paraId="5FD7184C" w14:textId="5148AB1B" w:rsidR="009F6F61" w:rsidRPr="000A3ADF" w:rsidRDefault="00FE4AD8" w:rsidP="00FE4AD8">
      <w:pPr>
        <w:pStyle w:val="Heading6"/>
        <w:spacing w:after="120"/>
        <w:rPr>
          <w:rFonts w:asciiTheme="majorBidi" w:eastAsia="Mongolian Baiti" w:hAnsiTheme="majorBidi" w:cstheme="majorBidi"/>
          <w:sz w:val="22"/>
          <w:szCs w:val="22"/>
          <w:u w:val="single"/>
        </w:rPr>
      </w:pPr>
      <w:r>
        <w:rPr>
          <w:rFonts w:asciiTheme="majorBidi" w:eastAsia="Mongolian Baiti" w:hAnsiTheme="majorBidi" w:cstheme="majorBidi"/>
          <w:sz w:val="22"/>
          <w:szCs w:val="22"/>
          <w:u w:val="single"/>
        </w:rPr>
        <w:t xml:space="preserve">Course </w:t>
      </w:r>
      <w:r w:rsidR="009F6F61" w:rsidRPr="000A3ADF">
        <w:rPr>
          <w:rFonts w:asciiTheme="majorBidi" w:eastAsia="Mongolian Baiti" w:hAnsiTheme="majorBidi" w:cstheme="majorBidi"/>
          <w:sz w:val="22"/>
          <w:szCs w:val="22"/>
          <w:u w:val="single"/>
        </w:rPr>
        <w:t>Overview</w:t>
      </w:r>
      <w:r w:rsidR="008D4B2B">
        <w:rPr>
          <w:rFonts w:asciiTheme="majorBidi" w:eastAsia="Mongolian Baiti" w:hAnsiTheme="majorBidi" w:cstheme="majorBidi"/>
          <w:sz w:val="22"/>
          <w:szCs w:val="22"/>
          <w:u w:val="single"/>
        </w:rPr>
        <w:t xml:space="preserve"> and O</w:t>
      </w:r>
      <w:r w:rsidR="003F1E1C">
        <w:rPr>
          <w:rFonts w:asciiTheme="majorBidi" w:eastAsia="Mongolian Baiti" w:hAnsiTheme="majorBidi" w:cstheme="majorBidi"/>
          <w:sz w:val="22"/>
          <w:szCs w:val="22"/>
          <w:u w:val="single"/>
        </w:rPr>
        <w:t>bjectives</w:t>
      </w:r>
    </w:p>
    <w:p w14:paraId="225223D0" w14:textId="1756787A" w:rsidR="00284FF0" w:rsidRPr="00284FF0" w:rsidRDefault="00BA48FE" w:rsidP="00623A4D">
      <w:pPr>
        <w:pStyle w:val="Footer"/>
        <w:tabs>
          <w:tab w:val="left" w:pos="720"/>
        </w:tabs>
        <w:spacing w:after="120"/>
        <w:rPr>
          <w:rFonts w:asciiTheme="majorBidi" w:eastAsia="Mongolian Baiti" w:hAnsiTheme="majorBidi" w:cstheme="majorBidi"/>
          <w:bCs/>
          <w:color w:val="000000"/>
          <w:sz w:val="22"/>
          <w:szCs w:val="22"/>
        </w:rPr>
      </w:pPr>
      <w:r>
        <w:rPr>
          <w:rFonts w:asciiTheme="majorBidi" w:eastAsia="Mongolian Baiti" w:hAnsiTheme="majorBidi" w:cstheme="majorBidi"/>
          <w:bCs/>
          <w:color w:val="000000"/>
          <w:sz w:val="22"/>
          <w:szCs w:val="22"/>
        </w:rPr>
        <w:tab/>
      </w:r>
      <w:r>
        <w:rPr>
          <w:rFonts w:asciiTheme="majorBidi" w:eastAsia="Mongolian Baiti" w:hAnsiTheme="majorBidi" w:cstheme="majorBidi"/>
          <w:bCs/>
          <w:color w:val="000000"/>
          <w:sz w:val="22"/>
          <w:szCs w:val="22"/>
        </w:rPr>
        <w:tab/>
      </w:r>
      <w:r w:rsidR="00284FF0" w:rsidRPr="00284FF0">
        <w:rPr>
          <w:rFonts w:asciiTheme="majorBidi" w:eastAsia="Mongolian Baiti" w:hAnsiTheme="majorBidi" w:cstheme="majorBidi"/>
          <w:bCs/>
          <w:color w:val="000000"/>
          <w:sz w:val="22"/>
          <w:szCs w:val="22"/>
        </w:rPr>
        <w:t xml:space="preserve">Although </w:t>
      </w:r>
      <w:r w:rsidR="003F1E1C">
        <w:rPr>
          <w:rFonts w:asciiTheme="majorBidi" w:eastAsia="Mongolian Baiti" w:hAnsiTheme="majorBidi" w:cstheme="majorBidi"/>
          <w:bCs/>
          <w:color w:val="000000"/>
          <w:sz w:val="22"/>
          <w:szCs w:val="22"/>
        </w:rPr>
        <w:t xml:space="preserve">antisemitism was </w:t>
      </w:r>
      <w:r w:rsidR="00284FF0" w:rsidRPr="00284FF0">
        <w:rPr>
          <w:rFonts w:asciiTheme="majorBidi" w:eastAsia="Mongolian Baiti" w:hAnsiTheme="majorBidi" w:cstheme="majorBidi"/>
          <w:bCs/>
          <w:color w:val="000000"/>
          <w:sz w:val="22"/>
          <w:szCs w:val="22"/>
        </w:rPr>
        <w:t xml:space="preserve">once considered dormant, </w:t>
      </w:r>
      <w:r w:rsidR="002D7387">
        <w:rPr>
          <w:rFonts w:asciiTheme="majorBidi" w:eastAsia="Mongolian Baiti" w:hAnsiTheme="majorBidi" w:cstheme="majorBidi"/>
          <w:bCs/>
          <w:color w:val="000000"/>
          <w:sz w:val="22"/>
          <w:szCs w:val="22"/>
        </w:rPr>
        <w:t xml:space="preserve">individuals and </w:t>
      </w:r>
      <w:r w:rsidR="00284FF0" w:rsidRPr="00284FF0">
        <w:rPr>
          <w:rFonts w:asciiTheme="majorBidi" w:eastAsia="Mongolian Baiti" w:hAnsiTheme="majorBidi" w:cstheme="majorBidi"/>
          <w:bCs/>
          <w:color w:val="000000"/>
          <w:sz w:val="22"/>
          <w:szCs w:val="22"/>
        </w:rPr>
        <w:t>pol</w:t>
      </w:r>
      <w:r w:rsidR="00EC35C8">
        <w:rPr>
          <w:rFonts w:asciiTheme="majorBidi" w:eastAsia="Mongolian Baiti" w:hAnsiTheme="majorBidi" w:cstheme="majorBidi"/>
          <w:bCs/>
          <w:color w:val="000000"/>
          <w:sz w:val="22"/>
          <w:szCs w:val="22"/>
        </w:rPr>
        <w:t xml:space="preserve">itical movements </w:t>
      </w:r>
      <w:r w:rsidR="00284FF0" w:rsidRPr="00284FF0">
        <w:rPr>
          <w:rFonts w:asciiTheme="majorBidi" w:eastAsia="Mongolian Baiti" w:hAnsiTheme="majorBidi" w:cstheme="majorBidi"/>
          <w:bCs/>
          <w:color w:val="000000"/>
          <w:sz w:val="22"/>
          <w:szCs w:val="22"/>
        </w:rPr>
        <w:t xml:space="preserve">espousing antisemitism have made headlines </w:t>
      </w:r>
      <w:r w:rsidR="008E2AEE">
        <w:rPr>
          <w:rFonts w:asciiTheme="majorBidi" w:eastAsia="Mongolian Baiti" w:hAnsiTheme="majorBidi" w:cstheme="majorBidi"/>
          <w:bCs/>
          <w:color w:val="000000"/>
          <w:sz w:val="22"/>
          <w:szCs w:val="22"/>
        </w:rPr>
        <w:t xml:space="preserve">in both the US and Europe </w:t>
      </w:r>
      <w:r w:rsidR="00284FF0" w:rsidRPr="00284FF0">
        <w:rPr>
          <w:rFonts w:asciiTheme="majorBidi" w:eastAsia="Mongolian Baiti" w:hAnsiTheme="majorBidi" w:cstheme="majorBidi"/>
          <w:bCs/>
          <w:color w:val="000000"/>
          <w:sz w:val="22"/>
          <w:szCs w:val="22"/>
        </w:rPr>
        <w:t xml:space="preserve">in </w:t>
      </w:r>
      <w:r>
        <w:rPr>
          <w:rFonts w:asciiTheme="majorBidi" w:eastAsia="Mongolian Baiti" w:hAnsiTheme="majorBidi" w:cstheme="majorBidi"/>
          <w:bCs/>
          <w:color w:val="000000"/>
          <w:sz w:val="22"/>
          <w:szCs w:val="22"/>
        </w:rPr>
        <w:t>recent</w:t>
      </w:r>
      <w:r w:rsidR="00623A4D">
        <w:rPr>
          <w:rFonts w:asciiTheme="majorBidi" w:eastAsia="Mongolian Baiti" w:hAnsiTheme="majorBidi" w:cstheme="majorBidi"/>
          <w:bCs/>
          <w:color w:val="000000"/>
          <w:sz w:val="22"/>
          <w:szCs w:val="22"/>
        </w:rPr>
        <w:t xml:space="preserve"> years. They include </w:t>
      </w:r>
      <w:r w:rsidR="008E2AEE">
        <w:rPr>
          <w:rFonts w:asciiTheme="majorBidi" w:eastAsia="Mongolian Baiti" w:hAnsiTheme="majorBidi" w:cstheme="majorBidi"/>
          <w:bCs/>
          <w:color w:val="000000"/>
          <w:sz w:val="22"/>
          <w:szCs w:val="22"/>
        </w:rPr>
        <w:t>the perpetrators of</w:t>
      </w:r>
      <w:r w:rsidR="00284FF0" w:rsidRPr="00284FF0">
        <w:rPr>
          <w:rFonts w:asciiTheme="majorBidi" w:eastAsia="Mongolian Baiti" w:hAnsiTheme="majorBidi" w:cstheme="majorBidi"/>
          <w:bCs/>
          <w:color w:val="000000"/>
          <w:sz w:val="22"/>
          <w:szCs w:val="22"/>
        </w:rPr>
        <w:t xml:space="preserve"> the</w:t>
      </w:r>
      <w:r w:rsidR="00EC35C8">
        <w:rPr>
          <w:rFonts w:asciiTheme="majorBidi" w:eastAsia="Mongolian Baiti" w:hAnsiTheme="majorBidi" w:cstheme="majorBidi"/>
          <w:bCs/>
          <w:color w:val="000000"/>
          <w:sz w:val="22"/>
          <w:szCs w:val="22"/>
        </w:rPr>
        <w:t xml:space="preserve"> </w:t>
      </w:r>
      <w:r w:rsidR="002D7387" w:rsidRPr="002D7387">
        <w:rPr>
          <w:rFonts w:asciiTheme="majorBidi" w:eastAsia="Mongolian Baiti" w:hAnsiTheme="majorBidi" w:cstheme="majorBidi"/>
          <w:bCs/>
          <w:color w:val="000000"/>
          <w:sz w:val="22"/>
          <w:szCs w:val="22"/>
        </w:rPr>
        <w:t>murderous</w:t>
      </w:r>
      <w:r w:rsidR="002D7387">
        <w:rPr>
          <w:rFonts w:asciiTheme="majorBidi" w:eastAsia="Mongolian Baiti" w:hAnsiTheme="majorBidi" w:cstheme="majorBidi"/>
          <w:bCs/>
          <w:color w:val="000000"/>
          <w:sz w:val="22"/>
          <w:szCs w:val="22"/>
        </w:rPr>
        <w:t xml:space="preserve"> </w:t>
      </w:r>
      <w:r w:rsidR="002D7387" w:rsidRPr="002D7387">
        <w:rPr>
          <w:rFonts w:asciiTheme="majorBidi" w:eastAsia="Mongolian Baiti" w:hAnsiTheme="majorBidi" w:cstheme="majorBidi"/>
          <w:bCs/>
          <w:color w:val="000000"/>
          <w:sz w:val="22"/>
          <w:szCs w:val="22"/>
        </w:rPr>
        <w:t xml:space="preserve">assault on Pittsburgh’s Tree of Life Synagogue </w:t>
      </w:r>
      <w:r w:rsidR="008E2AEE">
        <w:rPr>
          <w:rFonts w:asciiTheme="majorBidi" w:eastAsia="Mongolian Baiti" w:hAnsiTheme="majorBidi" w:cstheme="majorBidi"/>
          <w:bCs/>
          <w:color w:val="000000"/>
          <w:sz w:val="22"/>
          <w:szCs w:val="22"/>
        </w:rPr>
        <w:t>in</w:t>
      </w:r>
      <w:r w:rsidR="002D7387" w:rsidRPr="002D7387">
        <w:rPr>
          <w:rFonts w:asciiTheme="majorBidi" w:eastAsia="Mongolian Baiti" w:hAnsiTheme="majorBidi" w:cstheme="majorBidi"/>
          <w:bCs/>
          <w:color w:val="000000"/>
          <w:sz w:val="22"/>
          <w:szCs w:val="22"/>
        </w:rPr>
        <w:t xml:space="preserve"> 2018, which the Anti-Defamation League described as “the deadliest attack on the Jewish community in t</w:t>
      </w:r>
      <w:r w:rsidR="008E2AEE">
        <w:rPr>
          <w:rFonts w:asciiTheme="majorBidi" w:eastAsia="Mongolian Baiti" w:hAnsiTheme="majorBidi" w:cstheme="majorBidi"/>
          <w:bCs/>
          <w:color w:val="000000"/>
          <w:sz w:val="22"/>
          <w:szCs w:val="22"/>
        </w:rPr>
        <w:t>he history of the United States</w:t>
      </w:r>
      <w:r w:rsidR="002129C3">
        <w:rPr>
          <w:rFonts w:asciiTheme="majorBidi" w:eastAsia="Mongolian Baiti" w:hAnsiTheme="majorBidi" w:cstheme="majorBidi"/>
          <w:bCs/>
          <w:color w:val="000000"/>
          <w:sz w:val="22"/>
          <w:szCs w:val="22"/>
        </w:rPr>
        <w:t>”</w:t>
      </w:r>
      <w:r w:rsidR="002E036C">
        <w:rPr>
          <w:rFonts w:asciiTheme="majorBidi" w:eastAsia="Mongolian Baiti" w:hAnsiTheme="majorBidi" w:cstheme="majorBidi"/>
          <w:bCs/>
          <w:color w:val="000000"/>
          <w:sz w:val="22"/>
          <w:szCs w:val="22"/>
        </w:rPr>
        <w:t>;</w:t>
      </w:r>
      <w:r w:rsidR="007D2313">
        <w:rPr>
          <w:rFonts w:asciiTheme="majorBidi" w:eastAsia="Mongolian Baiti" w:hAnsiTheme="majorBidi" w:cstheme="majorBidi"/>
          <w:bCs/>
          <w:color w:val="000000"/>
          <w:sz w:val="22"/>
          <w:szCs w:val="22"/>
        </w:rPr>
        <w:t xml:space="preserve"> </w:t>
      </w:r>
      <w:r w:rsidR="002E036C" w:rsidRPr="002E036C">
        <w:rPr>
          <w:rFonts w:asciiTheme="majorBidi" w:eastAsia="Mongolian Baiti" w:hAnsiTheme="majorBidi" w:cstheme="majorBidi"/>
          <w:bCs/>
          <w:color w:val="000000"/>
          <w:sz w:val="22"/>
          <w:szCs w:val="22"/>
        </w:rPr>
        <w:t xml:space="preserve">the gruesome murder of Holocaust survivor Mireille Knoll in Paris </w:t>
      </w:r>
      <w:r w:rsidR="002E036C">
        <w:rPr>
          <w:rFonts w:asciiTheme="majorBidi" w:eastAsia="Mongolian Baiti" w:hAnsiTheme="majorBidi" w:cstheme="majorBidi"/>
          <w:bCs/>
          <w:color w:val="000000"/>
          <w:sz w:val="22"/>
          <w:szCs w:val="22"/>
        </w:rPr>
        <w:t xml:space="preserve">in 2018; and the deadly </w:t>
      </w:r>
      <w:r w:rsidR="002129C3" w:rsidRPr="002129C3">
        <w:rPr>
          <w:rFonts w:asciiTheme="majorBidi" w:eastAsia="Mongolian Baiti" w:hAnsiTheme="majorBidi" w:cstheme="majorBidi"/>
          <w:bCs/>
          <w:color w:val="000000"/>
          <w:sz w:val="22"/>
          <w:szCs w:val="22"/>
        </w:rPr>
        <w:t xml:space="preserve">armed assault on </w:t>
      </w:r>
      <w:r w:rsidR="002E036C">
        <w:rPr>
          <w:rFonts w:asciiTheme="majorBidi" w:eastAsia="Mongolian Baiti" w:hAnsiTheme="majorBidi" w:cstheme="majorBidi"/>
          <w:bCs/>
          <w:color w:val="000000"/>
          <w:sz w:val="22"/>
          <w:szCs w:val="22"/>
        </w:rPr>
        <w:t>the</w:t>
      </w:r>
      <w:r w:rsidR="002129C3" w:rsidRPr="002129C3">
        <w:rPr>
          <w:rFonts w:asciiTheme="majorBidi" w:eastAsia="Mongolian Baiti" w:hAnsiTheme="majorBidi" w:cstheme="majorBidi"/>
          <w:bCs/>
          <w:color w:val="000000"/>
          <w:sz w:val="22"/>
          <w:szCs w:val="22"/>
        </w:rPr>
        <w:t xml:space="preserve"> synagogue in Halle, Germany, in 2019</w:t>
      </w:r>
      <w:r w:rsidR="007D2313">
        <w:rPr>
          <w:rFonts w:asciiTheme="majorBidi" w:eastAsia="Mongolian Baiti" w:hAnsiTheme="majorBidi" w:cstheme="majorBidi"/>
          <w:bCs/>
          <w:color w:val="000000"/>
          <w:sz w:val="22"/>
          <w:szCs w:val="22"/>
        </w:rPr>
        <w:t xml:space="preserve">. </w:t>
      </w:r>
      <w:r w:rsidR="00284FF0" w:rsidRPr="00284FF0">
        <w:rPr>
          <w:rFonts w:asciiTheme="majorBidi" w:eastAsia="Mongolian Baiti" w:hAnsiTheme="majorBidi" w:cstheme="majorBidi"/>
          <w:bCs/>
          <w:color w:val="000000"/>
          <w:sz w:val="22"/>
          <w:szCs w:val="22"/>
        </w:rPr>
        <w:t>Globally, some commentators have observed a resurgence of antisemitism over the past two decades.</w:t>
      </w:r>
    </w:p>
    <w:p w14:paraId="59CBF926" w14:textId="21029FFD" w:rsidR="00EE4876" w:rsidRPr="00BA48FE" w:rsidRDefault="00BA48FE" w:rsidP="00CE7959">
      <w:pPr>
        <w:pStyle w:val="Footer"/>
        <w:tabs>
          <w:tab w:val="left" w:pos="720"/>
        </w:tabs>
        <w:spacing w:after="120"/>
        <w:rPr>
          <w:rFonts w:asciiTheme="majorBidi" w:eastAsia="Mongolian Baiti" w:hAnsiTheme="majorBidi" w:cstheme="majorBidi"/>
          <w:bCs/>
          <w:color w:val="000000"/>
          <w:sz w:val="22"/>
          <w:szCs w:val="22"/>
        </w:rPr>
      </w:pPr>
      <w:r>
        <w:rPr>
          <w:rFonts w:asciiTheme="majorBidi" w:eastAsia="Mongolian Baiti" w:hAnsiTheme="majorBidi" w:cstheme="majorBidi"/>
          <w:bCs/>
          <w:color w:val="000000"/>
          <w:sz w:val="22"/>
          <w:szCs w:val="22"/>
        </w:rPr>
        <w:tab/>
      </w:r>
      <w:r>
        <w:rPr>
          <w:rFonts w:asciiTheme="majorBidi" w:eastAsia="Mongolian Baiti" w:hAnsiTheme="majorBidi" w:cstheme="majorBidi"/>
          <w:bCs/>
          <w:color w:val="000000"/>
          <w:sz w:val="22"/>
          <w:szCs w:val="22"/>
        </w:rPr>
        <w:tab/>
        <w:t>On the one hand, attempts by policy</w:t>
      </w:r>
      <w:r w:rsidR="00284FF0" w:rsidRPr="00284FF0">
        <w:rPr>
          <w:rFonts w:asciiTheme="majorBidi" w:eastAsia="Mongolian Baiti" w:hAnsiTheme="majorBidi" w:cstheme="majorBidi"/>
          <w:bCs/>
          <w:color w:val="000000"/>
          <w:sz w:val="22"/>
          <w:szCs w:val="22"/>
        </w:rPr>
        <w:t xml:space="preserve">makers and activists to identify and combat antisemitism, whether </w:t>
      </w:r>
      <w:r>
        <w:rPr>
          <w:rFonts w:asciiTheme="majorBidi" w:eastAsia="Mongolian Baiti" w:hAnsiTheme="majorBidi" w:cstheme="majorBidi"/>
          <w:bCs/>
          <w:color w:val="000000"/>
          <w:sz w:val="22"/>
          <w:szCs w:val="22"/>
        </w:rPr>
        <w:t>in</w:t>
      </w:r>
      <w:r w:rsidR="00284FF0" w:rsidRPr="00284FF0">
        <w:rPr>
          <w:rFonts w:asciiTheme="majorBidi" w:eastAsia="Mongolian Baiti" w:hAnsiTheme="majorBidi" w:cstheme="majorBidi"/>
          <w:bCs/>
          <w:color w:val="000000"/>
          <w:sz w:val="22"/>
          <w:szCs w:val="22"/>
        </w:rPr>
        <w:t xml:space="preserve"> </w:t>
      </w:r>
      <w:r>
        <w:rPr>
          <w:rFonts w:asciiTheme="majorBidi" w:eastAsia="Mongolian Baiti" w:hAnsiTheme="majorBidi" w:cstheme="majorBidi"/>
          <w:bCs/>
          <w:color w:val="000000"/>
          <w:sz w:val="22"/>
          <w:szCs w:val="22"/>
        </w:rPr>
        <w:t>city</w:t>
      </w:r>
      <w:r w:rsidR="00284FF0" w:rsidRPr="00284FF0">
        <w:rPr>
          <w:rFonts w:asciiTheme="majorBidi" w:eastAsia="Mongolian Baiti" w:hAnsiTheme="majorBidi" w:cstheme="majorBidi"/>
          <w:bCs/>
          <w:color w:val="000000"/>
          <w:sz w:val="22"/>
          <w:szCs w:val="22"/>
        </w:rPr>
        <w:t xml:space="preserve"> streets, social media spaces, or college dormitories, are often hobbled by a lack of knowledge about the history of the phenomenon. </w:t>
      </w:r>
      <w:r w:rsidR="008136FB">
        <w:rPr>
          <w:rFonts w:asciiTheme="majorBidi" w:eastAsia="Mongolian Baiti" w:hAnsiTheme="majorBidi" w:cstheme="majorBidi"/>
          <w:bCs/>
          <w:color w:val="000000"/>
          <w:sz w:val="22"/>
          <w:szCs w:val="22"/>
        </w:rPr>
        <w:t>O</w:t>
      </w:r>
      <w:r w:rsidR="008136FB" w:rsidRPr="00284FF0">
        <w:rPr>
          <w:rFonts w:asciiTheme="majorBidi" w:eastAsia="Mongolian Baiti" w:hAnsiTheme="majorBidi" w:cstheme="majorBidi"/>
          <w:bCs/>
          <w:color w:val="000000"/>
          <w:sz w:val="22"/>
          <w:szCs w:val="22"/>
        </w:rPr>
        <w:t>n the other hand</w:t>
      </w:r>
      <w:r w:rsidR="008136FB">
        <w:rPr>
          <w:rFonts w:asciiTheme="majorBidi" w:eastAsia="Mongolian Baiti" w:hAnsiTheme="majorBidi" w:cstheme="majorBidi"/>
          <w:bCs/>
          <w:color w:val="000000"/>
          <w:sz w:val="22"/>
          <w:szCs w:val="22"/>
        </w:rPr>
        <w:t>, a</w:t>
      </w:r>
      <w:r w:rsidR="00284FF0" w:rsidRPr="00284FF0">
        <w:rPr>
          <w:rFonts w:asciiTheme="majorBidi" w:eastAsia="Mongolian Baiti" w:hAnsiTheme="majorBidi" w:cstheme="majorBidi"/>
          <w:bCs/>
          <w:color w:val="000000"/>
          <w:sz w:val="22"/>
          <w:szCs w:val="22"/>
        </w:rPr>
        <w:t>cad</w:t>
      </w:r>
      <w:r w:rsidR="008136FB">
        <w:rPr>
          <w:rFonts w:asciiTheme="majorBidi" w:eastAsia="Mongolian Baiti" w:hAnsiTheme="majorBidi" w:cstheme="majorBidi"/>
          <w:bCs/>
          <w:color w:val="000000"/>
          <w:sz w:val="22"/>
          <w:szCs w:val="22"/>
        </w:rPr>
        <w:t>emic scholarship by historians</w:t>
      </w:r>
      <w:r w:rsidR="006D5184">
        <w:rPr>
          <w:rFonts w:asciiTheme="majorBidi" w:eastAsia="Mongolian Baiti" w:hAnsiTheme="majorBidi" w:cstheme="majorBidi"/>
          <w:bCs/>
          <w:color w:val="000000"/>
          <w:sz w:val="22"/>
          <w:szCs w:val="22"/>
        </w:rPr>
        <w:t xml:space="preserve"> </w:t>
      </w:r>
      <w:r w:rsidR="00284FF0" w:rsidRPr="00284FF0">
        <w:rPr>
          <w:rFonts w:asciiTheme="majorBidi" w:eastAsia="Mongolian Baiti" w:hAnsiTheme="majorBidi" w:cstheme="majorBidi"/>
          <w:bCs/>
          <w:color w:val="000000"/>
          <w:sz w:val="22"/>
          <w:szCs w:val="22"/>
        </w:rPr>
        <w:t>sometimes suffers from a lack of attention to i</w:t>
      </w:r>
      <w:r w:rsidR="00EC35C8">
        <w:rPr>
          <w:rFonts w:asciiTheme="majorBidi" w:eastAsia="Mongolian Baiti" w:hAnsiTheme="majorBidi" w:cstheme="majorBidi"/>
          <w:bCs/>
          <w:color w:val="000000"/>
          <w:sz w:val="22"/>
          <w:szCs w:val="22"/>
        </w:rPr>
        <w:t xml:space="preserve">ts contemporary manifestations. </w:t>
      </w:r>
      <w:r w:rsidR="00EC35C8" w:rsidRPr="00EC35C8">
        <w:rPr>
          <w:rFonts w:asciiTheme="majorBidi" w:eastAsia="Mongolian Baiti" w:hAnsiTheme="majorBidi" w:cstheme="majorBidi"/>
          <w:bCs/>
          <w:color w:val="000000"/>
          <w:sz w:val="22"/>
          <w:szCs w:val="22"/>
        </w:rPr>
        <w:t xml:space="preserve">Guided by John Dewey’s view that history is “vital” and valuable </w:t>
      </w:r>
      <w:r w:rsidR="00CE7959">
        <w:rPr>
          <w:rFonts w:asciiTheme="majorBidi" w:eastAsia="Mongolian Baiti" w:hAnsiTheme="majorBidi" w:cstheme="majorBidi"/>
          <w:bCs/>
          <w:color w:val="000000"/>
          <w:sz w:val="22"/>
          <w:szCs w:val="22"/>
        </w:rPr>
        <w:t xml:space="preserve">insofar as </w:t>
      </w:r>
      <w:r w:rsidR="00EC35C8" w:rsidRPr="00EC35C8">
        <w:rPr>
          <w:rFonts w:asciiTheme="majorBidi" w:eastAsia="Mongolian Baiti" w:hAnsiTheme="majorBidi" w:cstheme="majorBidi"/>
          <w:bCs/>
          <w:color w:val="000000"/>
          <w:sz w:val="22"/>
          <w:szCs w:val="22"/>
        </w:rPr>
        <w:t>“it is treated as a matter of analysis of existing social relations,” this course provides a critical and interdisciplinary review of the history and major theories of modern antisemitism, with attention to both past and present-day forms of this phenomenon.</w:t>
      </w:r>
    </w:p>
    <w:p w14:paraId="49DD52EF" w14:textId="4EC276C5" w:rsidR="008A7FC5" w:rsidRDefault="00BA48FE" w:rsidP="008D4B2B">
      <w:pPr>
        <w:pStyle w:val="Footer"/>
        <w:tabs>
          <w:tab w:val="left" w:pos="720"/>
        </w:tabs>
        <w:rPr>
          <w:rFonts w:asciiTheme="majorBidi" w:eastAsia="Mongolian Baiti" w:hAnsiTheme="majorBidi" w:cstheme="majorBidi"/>
          <w:bCs/>
          <w:color w:val="000000"/>
          <w:sz w:val="22"/>
          <w:szCs w:val="22"/>
        </w:rPr>
      </w:pPr>
      <w:r>
        <w:rPr>
          <w:rFonts w:asciiTheme="majorBidi" w:eastAsia="Mongolian Baiti" w:hAnsiTheme="majorBidi" w:cstheme="majorBidi"/>
          <w:bCs/>
          <w:color w:val="000000"/>
          <w:sz w:val="22"/>
          <w:szCs w:val="22"/>
        </w:rPr>
        <w:tab/>
      </w:r>
      <w:r w:rsidR="00284FF0" w:rsidRPr="00284FF0">
        <w:rPr>
          <w:rFonts w:asciiTheme="majorBidi" w:eastAsia="Mongolian Baiti" w:hAnsiTheme="majorBidi" w:cstheme="majorBidi"/>
          <w:bCs/>
          <w:color w:val="000000"/>
          <w:sz w:val="22"/>
          <w:szCs w:val="22"/>
        </w:rPr>
        <w:t xml:space="preserve">By reading both classic and recent scholarship </w:t>
      </w:r>
      <w:r w:rsidR="009135B0">
        <w:rPr>
          <w:rFonts w:asciiTheme="majorBidi" w:eastAsia="Mongolian Baiti" w:hAnsiTheme="majorBidi" w:cstheme="majorBidi"/>
          <w:bCs/>
          <w:color w:val="000000"/>
          <w:sz w:val="22"/>
          <w:szCs w:val="22"/>
        </w:rPr>
        <w:t>on</w:t>
      </w:r>
      <w:r w:rsidR="00284FF0" w:rsidRPr="00284FF0">
        <w:rPr>
          <w:rFonts w:asciiTheme="majorBidi" w:eastAsia="Mongolian Baiti" w:hAnsiTheme="majorBidi" w:cstheme="majorBidi"/>
          <w:bCs/>
          <w:color w:val="000000"/>
          <w:sz w:val="22"/>
          <w:szCs w:val="22"/>
        </w:rPr>
        <w:t xml:space="preserve"> </w:t>
      </w:r>
      <w:r w:rsidR="009135B0">
        <w:rPr>
          <w:rFonts w:asciiTheme="majorBidi" w:eastAsia="Mongolian Baiti" w:hAnsiTheme="majorBidi" w:cstheme="majorBidi"/>
          <w:bCs/>
          <w:color w:val="000000"/>
          <w:sz w:val="22"/>
          <w:szCs w:val="22"/>
        </w:rPr>
        <w:t>antisemitism</w:t>
      </w:r>
      <w:r w:rsidR="00284FF0" w:rsidRPr="00284FF0">
        <w:rPr>
          <w:rFonts w:asciiTheme="majorBidi" w:eastAsia="Mongolian Baiti" w:hAnsiTheme="majorBidi" w:cstheme="majorBidi"/>
          <w:bCs/>
          <w:color w:val="000000"/>
          <w:sz w:val="22"/>
          <w:szCs w:val="22"/>
        </w:rPr>
        <w:t xml:space="preserve"> in multiple contexts (geographic, chronological, cultural) as well as several canonical antisemitic texts, we will seek to understand the origins, major themes, continuities and changes, and surprising endurance of antisemitism. You will</w:t>
      </w:r>
      <w:r w:rsidR="008A7FC5">
        <w:rPr>
          <w:rFonts w:asciiTheme="majorBidi" w:eastAsia="Mongolian Baiti" w:hAnsiTheme="majorBidi" w:cstheme="majorBidi"/>
          <w:bCs/>
          <w:color w:val="000000"/>
          <w:sz w:val="22"/>
          <w:szCs w:val="22"/>
        </w:rPr>
        <w:t xml:space="preserve"> l</w:t>
      </w:r>
      <w:r w:rsidR="00284FF0" w:rsidRPr="00284FF0">
        <w:rPr>
          <w:rFonts w:asciiTheme="majorBidi" w:eastAsia="Mongolian Baiti" w:hAnsiTheme="majorBidi" w:cstheme="majorBidi"/>
          <w:bCs/>
          <w:color w:val="000000"/>
          <w:sz w:val="22"/>
          <w:szCs w:val="22"/>
        </w:rPr>
        <w:t>earn to use historical thinking to address contemporary issues with nuance</w:t>
      </w:r>
      <w:r w:rsidR="008A7FC5">
        <w:rPr>
          <w:rFonts w:asciiTheme="majorBidi" w:eastAsia="Mongolian Baiti" w:hAnsiTheme="majorBidi" w:cstheme="majorBidi"/>
          <w:bCs/>
          <w:color w:val="000000"/>
          <w:sz w:val="22"/>
          <w:szCs w:val="22"/>
        </w:rPr>
        <w:t>, p</w:t>
      </w:r>
      <w:r w:rsidR="00284FF0" w:rsidRPr="00284FF0">
        <w:rPr>
          <w:rFonts w:asciiTheme="majorBidi" w:eastAsia="Mongolian Baiti" w:hAnsiTheme="majorBidi" w:cstheme="majorBidi"/>
          <w:bCs/>
          <w:color w:val="000000"/>
          <w:sz w:val="22"/>
          <w:szCs w:val="22"/>
        </w:rPr>
        <w:t>ractice reading difficult works of scholarship</w:t>
      </w:r>
      <w:r w:rsidR="008A7FC5">
        <w:rPr>
          <w:rFonts w:asciiTheme="majorBidi" w:eastAsia="Mongolian Baiti" w:hAnsiTheme="majorBidi" w:cstheme="majorBidi"/>
          <w:bCs/>
          <w:color w:val="000000"/>
          <w:sz w:val="22"/>
          <w:szCs w:val="22"/>
        </w:rPr>
        <w:t>, and gain</w:t>
      </w:r>
      <w:r w:rsidR="00284FF0" w:rsidRPr="00284FF0">
        <w:rPr>
          <w:rFonts w:asciiTheme="majorBidi" w:eastAsia="Mongolian Baiti" w:hAnsiTheme="majorBidi" w:cstheme="majorBidi"/>
          <w:bCs/>
          <w:color w:val="000000"/>
          <w:sz w:val="22"/>
          <w:szCs w:val="22"/>
        </w:rPr>
        <w:t xml:space="preserve"> ma</w:t>
      </w:r>
      <w:r w:rsidR="008A7FC5">
        <w:rPr>
          <w:rFonts w:asciiTheme="majorBidi" w:eastAsia="Mongolian Baiti" w:hAnsiTheme="majorBidi" w:cstheme="majorBidi"/>
          <w:bCs/>
          <w:color w:val="000000"/>
          <w:sz w:val="22"/>
          <w:szCs w:val="22"/>
        </w:rPr>
        <w:t>stery over a historical problem.</w:t>
      </w:r>
    </w:p>
    <w:p w14:paraId="0220CD50" w14:textId="77777777" w:rsidR="008D4B2B" w:rsidRDefault="008D4B2B" w:rsidP="008D4B2B">
      <w:pPr>
        <w:pStyle w:val="Footer"/>
        <w:tabs>
          <w:tab w:val="left" w:pos="720"/>
        </w:tabs>
        <w:rPr>
          <w:rFonts w:asciiTheme="majorBidi" w:eastAsia="Mongolian Baiti" w:hAnsiTheme="majorBidi" w:cstheme="majorBidi"/>
          <w:bCs/>
          <w:color w:val="000000"/>
          <w:sz w:val="22"/>
          <w:szCs w:val="22"/>
        </w:rPr>
      </w:pPr>
    </w:p>
    <w:p w14:paraId="7C03CE31" w14:textId="528100CA" w:rsidR="000A3ADF" w:rsidRPr="00752E53" w:rsidRDefault="00EE56DA" w:rsidP="00EE56DA">
      <w:pPr>
        <w:spacing w:after="120"/>
        <w:outlineLvl w:val="0"/>
        <w:rPr>
          <w:b/>
          <w:sz w:val="22"/>
          <w:szCs w:val="22"/>
        </w:rPr>
      </w:pPr>
      <w:r>
        <w:rPr>
          <w:b/>
          <w:sz w:val="22"/>
          <w:szCs w:val="22"/>
          <w:u w:val="single"/>
        </w:rPr>
        <w:t>Undergraduate Requirements</w:t>
      </w:r>
    </w:p>
    <w:p w14:paraId="390A2982" w14:textId="3224C22A" w:rsidR="000A3ADF" w:rsidRPr="00752E53" w:rsidRDefault="00BE54BC" w:rsidP="00BE54BC">
      <w:pPr>
        <w:spacing w:after="120"/>
        <w:rPr>
          <w:sz w:val="22"/>
          <w:szCs w:val="22"/>
        </w:rPr>
      </w:pPr>
      <w:r>
        <w:rPr>
          <w:b/>
          <w:sz w:val="22"/>
          <w:szCs w:val="22"/>
        </w:rPr>
        <w:t>Reading assignments</w:t>
      </w:r>
      <w:r w:rsidR="000A3ADF" w:rsidRPr="00C852CE">
        <w:rPr>
          <w:b/>
          <w:sz w:val="22"/>
          <w:szCs w:val="22"/>
        </w:rPr>
        <w:t>:</w:t>
      </w:r>
      <w:r w:rsidR="000A3ADF" w:rsidRPr="00C852CE">
        <w:rPr>
          <w:sz w:val="22"/>
          <w:szCs w:val="22"/>
        </w:rPr>
        <w:t xml:space="preserve"> </w:t>
      </w:r>
      <w:r w:rsidR="00D97653">
        <w:rPr>
          <w:sz w:val="22"/>
          <w:szCs w:val="22"/>
        </w:rPr>
        <w:t>You are required to complete</w:t>
      </w:r>
      <w:r w:rsidR="00D97653" w:rsidRPr="00D97653">
        <w:rPr>
          <w:sz w:val="22"/>
          <w:szCs w:val="22"/>
        </w:rPr>
        <w:t xml:space="preserve"> about 61 pages </w:t>
      </w:r>
      <w:r w:rsidR="00D97653">
        <w:rPr>
          <w:sz w:val="22"/>
          <w:szCs w:val="22"/>
        </w:rPr>
        <w:t>of reading for each</w:t>
      </w:r>
      <w:r w:rsidR="00D97653" w:rsidRPr="00D97653">
        <w:rPr>
          <w:sz w:val="22"/>
          <w:szCs w:val="22"/>
        </w:rPr>
        <w:t xml:space="preserve"> </w:t>
      </w:r>
      <w:r w:rsidR="00D97653">
        <w:rPr>
          <w:sz w:val="22"/>
          <w:szCs w:val="22"/>
        </w:rPr>
        <w:t>class meeting</w:t>
      </w:r>
      <w:r w:rsidR="00D97653" w:rsidRPr="00D97653">
        <w:rPr>
          <w:sz w:val="22"/>
          <w:szCs w:val="22"/>
        </w:rPr>
        <w:t xml:space="preserve">, or 122 pages per week, on average. </w:t>
      </w:r>
      <w:r w:rsidR="00D97653" w:rsidRPr="005E5AA3">
        <w:rPr>
          <w:i/>
          <w:iCs/>
          <w:sz w:val="22"/>
          <w:szCs w:val="22"/>
        </w:rPr>
        <w:t>If you are unable or unwilling to do this much reading</w:t>
      </w:r>
      <w:r w:rsidR="0010436C">
        <w:rPr>
          <w:i/>
          <w:iCs/>
          <w:sz w:val="22"/>
          <w:szCs w:val="22"/>
        </w:rPr>
        <w:t xml:space="preserve"> consistently</w:t>
      </w:r>
      <w:r w:rsidR="00D97653" w:rsidRPr="005E5AA3">
        <w:rPr>
          <w:i/>
          <w:iCs/>
          <w:sz w:val="22"/>
          <w:szCs w:val="22"/>
        </w:rPr>
        <w:t>, you should drop the course now</w:t>
      </w:r>
      <w:r w:rsidR="00D97653" w:rsidRPr="00D97653">
        <w:rPr>
          <w:sz w:val="22"/>
          <w:szCs w:val="22"/>
        </w:rPr>
        <w:t xml:space="preserve">. </w:t>
      </w:r>
      <w:r w:rsidR="000A3ADF">
        <w:rPr>
          <w:sz w:val="22"/>
          <w:szCs w:val="22"/>
        </w:rPr>
        <w:t>Please</w:t>
      </w:r>
      <w:r w:rsidR="00D97653">
        <w:rPr>
          <w:sz w:val="22"/>
          <w:szCs w:val="22"/>
        </w:rPr>
        <w:t xml:space="preserve"> complete </w:t>
      </w:r>
      <w:r w:rsidR="00462587">
        <w:rPr>
          <w:sz w:val="22"/>
          <w:szCs w:val="22"/>
        </w:rPr>
        <w:t>all required</w:t>
      </w:r>
      <w:r w:rsidR="00D97653">
        <w:rPr>
          <w:sz w:val="22"/>
          <w:szCs w:val="22"/>
        </w:rPr>
        <w:t xml:space="preserve"> reading </w:t>
      </w:r>
      <w:r w:rsidR="00462587">
        <w:rPr>
          <w:sz w:val="22"/>
          <w:szCs w:val="22"/>
        </w:rPr>
        <w:t xml:space="preserve">assignments </w:t>
      </w:r>
      <w:r w:rsidR="000A3ADF" w:rsidRPr="001B517D">
        <w:rPr>
          <w:sz w:val="22"/>
          <w:szCs w:val="22"/>
        </w:rPr>
        <w:t>before</w:t>
      </w:r>
      <w:r w:rsidR="000A3ADF" w:rsidRPr="00C852CE">
        <w:rPr>
          <w:sz w:val="22"/>
          <w:szCs w:val="22"/>
        </w:rPr>
        <w:t xml:space="preserve"> the class meeting </w:t>
      </w:r>
      <w:r w:rsidR="00D97653">
        <w:rPr>
          <w:sz w:val="22"/>
          <w:szCs w:val="22"/>
        </w:rPr>
        <w:t xml:space="preserve">for which </w:t>
      </w:r>
      <w:r w:rsidR="00462587">
        <w:rPr>
          <w:sz w:val="22"/>
          <w:szCs w:val="22"/>
        </w:rPr>
        <w:t>they are</w:t>
      </w:r>
      <w:r w:rsidR="005E5AA3">
        <w:rPr>
          <w:sz w:val="22"/>
          <w:szCs w:val="22"/>
        </w:rPr>
        <w:t xml:space="preserve"> </w:t>
      </w:r>
      <w:r w:rsidR="00D97653">
        <w:rPr>
          <w:sz w:val="22"/>
          <w:szCs w:val="22"/>
        </w:rPr>
        <w:t>assigned</w:t>
      </w:r>
      <w:r w:rsidR="000A3ADF" w:rsidRPr="00C852CE">
        <w:rPr>
          <w:sz w:val="22"/>
          <w:szCs w:val="22"/>
        </w:rPr>
        <w:t>.</w:t>
      </w:r>
    </w:p>
    <w:p w14:paraId="55E735DE" w14:textId="165BBBE5" w:rsidR="000A3ADF" w:rsidRDefault="000A3ADF" w:rsidP="00623DF5">
      <w:pPr>
        <w:spacing w:after="120"/>
        <w:rPr>
          <w:sz w:val="22"/>
          <w:szCs w:val="22"/>
        </w:rPr>
      </w:pPr>
      <w:r w:rsidRPr="00C852CE">
        <w:rPr>
          <w:b/>
          <w:sz w:val="22"/>
          <w:szCs w:val="22"/>
        </w:rPr>
        <w:t>Attendance and participation</w:t>
      </w:r>
      <w:r w:rsidRPr="00C852CE">
        <w:rPr>
          <w:sz w:val="22"/>
          <w:szCs w:val="22"/>
        </w:rPr>
        <w:t xml:space="preserve">: </w:t>
      </w:r>
      <w:r w:rsidR="00B14966" w:rsidRPr="00B14966">
        <w:rPr>
          <w:sz w:val="22"/>
          <w:szCs w:val="22"/>
        </w:rPr>
        <w:t xml:space="preserve">Class time will be devoted to a mix of lecturing and discussion. Regular attendance and participation in class discussions are obligatory. You are expected to come to class prepared to discuss the day’s reading assignments. Good participation includes listening (taking notes, engaging with or building on the contributions of others), asking questions and/or </w:t>
      </w:r>
      <w:r w:rsidR="00B14966">
        <w:rPr>
          <w:sz w:val="22"/>
          <w:szCs w:val="22"/>
        </w:rPr>
        <w:t>suggesting</w:t>
      </w:r>
      <w:r w:rsidR="00B14966" w:rsidRPr="00B14966">
        <w:rPr>
          <w:sz w:val="22"/>
          <w:szCs w:val="22"/>
        </w:rPr>
        <w:t xml:space="preserve"> answers (you may email questions to the instructor ahead of time if you </w:t>
      </w:r>
      <w:r w:rsidR="00623DF5">
        <w:rPr>
          <w:sz w:val="22"/>
          <w:szCs w:val="22"/>
        </w:rPr>
        <w:t>prefer</w:t>
      </w:r>
      <w:r w:rsidR="00B14966" w:rsidRPr="00B14966">
        <w:rPr>
          <w:sz w:val="22"/>
          <w:szCs w:val="22"/>
        </w:rPr>
        <w:t>), and the quality of your contributions (the degree to which your remarks are relevant, constructive, informed, and well supported). Meeting with me outside of class, though not required, counts as participation.</w:t>
      </w:r>
    </w:p>
    <w:p w14:paraId="35499055" w14:textId="2C89FDD9" w:rsidR="00B14966" w:rsidRDefault="00705324" w:rsidP="00C80540">
      <w:pPr>
        <w:spacing w:after="120"/>
        <w:rPr>
          <w:sz w:val="22"/>
          <w:szCs w:val="22"/>
        </w:rPr>
      </w:pPr>
      <w:r>
        <w:rPr>
          <w:b/>
          <w:bCs/>
          <w:sz w:val="22"/>
          <w:szCs w:val="22"/>
        </w:rPr>
        <w:t>Four w</w:t>
      </w:r>
      <w:r w:rsidRPr="00705324">
        <w:rPr>
          <w:b/>
          <w:bCs/>
          <w:sz w:val="22"/>
          <w:szCs w:val="22"/>
        </w:rPr>
        <w:t>riting assignments:</w:t>
      </w:r>
      <w:r>
        <w:rPr>
          <w:sz w:val="22"/>
          <w:szCs w:val="22"/>
        </w:rPr>
        <w:t xml:space="preserve"> </w:t>
      </w:r>
      <w:r w:rsidRPr="00705324">
        <w:rPr>
          <w:sz w:val="22"/>
          <w:szCs w:val="22"/>
        </w:rPr>
        <w:t xml:space="preserve">You are expected to submit three response papers and a midterm paper during the semester. The details of each assignment are provided </w:t>
      </w:r>
      <w:r w:rsidR="00C80540">
        <w:rPr>
          <w:sz w:val="22"/>
          <w:szCs w:val="22"/>
        </w:rPr>
        <w:t>on Canvas</w:t>
      </w:r>
      <w:r w:rsidRPr="00705324">
        <w:rPr>
          <w:sz w:val="22"/>
          <w:szCs w:val="22"/>
        </w:rPr>
        <w:t xml:space="preserve">. Please submit the papers via Canvas and bring a printed copy to class </w:t>
      </w:r>
      <w:r w:rsidR="00F835BD">
        <w:rPr>
          <w:sz w:val="22"/>
          <w:szCs w:val="22"/>
        </w:rPr>
        <w:t xml:space="preserve">by 11:00 am </w:t>
      </w:r>
      <w:r w:rsidRPr="00705324">
        <w:rPr>
          <w:sz w:val="22"/>
          <w:szCs w:val="22"/>
        </w:rPr>
        <w:t>on the due date. All written work must be typed in 12-point font, double-spaced, and paginated. Please do not exceed word limits; I will stop reading beyond these limits.</w:t>
      </w:r>
      <w:r w:rsidR="00F835BD">
        <w:rPr>
          <w:sz w:val="22"/>
          <w:szCs w:val="22"/>
        </w:rPr>
        <w:t xml:space="preserve"> Response paper #1 is graded on a credit/no credit basis. All other</w:t>
      </w:r>
      <w:r w:rsidR="00F835BD" w:rsidRPr="00F835BD">
        <w:rPr>
          <w:sz w:val="22"/>
          <w:szCs w:val="22"/>
        </w:rPr>
        <w:t xml:space="preserve"> papers will be graded on the basis of how well you support your position, not the position you take.</w:t>
      </w:r>
    </w:p>
    <w:p w14:paraId="39E870EA" w14:textId="5843F2C4" w:rsidR="000A3ADF" w:rsidRDefault="000A3ADF" w:rsidP="000A3ADF">
      <w:pPr>
        <w:spacing w:after="120"/>
        <w:ind w:left="2" w:right="200"/>
        <w:rPr>
          <w:sz w:val="22"/>
          <w:szCs w:val="22"/>
        </w:rPr>
      </w:pPr>
      <w:r w:rsidRPr="00C852CE">
        <w:rPr>
          <w:sz w:val="22"/>
          <w:szCs w:val="22"/>
        </w:rPr>
        <w:t>Your overall grade for the semester will be calculated on a 100-point scale as follows:</w:t>
      </w:r>
    </w:p>
    <w:p w14:paraId="21618A94" w14:textId="77777777" w:rsidR="00314551" w:rsidRDefault="00314551" w:rsidP="00314551">
      <w:pPr>
        <w:rPr>
          <w:sz w:val="22"/>
          <w:szCs w:val="22"/>
        </w:rPr>
        <w:sectPr w:rsidR="00314551">
          <w:headerReference w:type="default" r:id="rId7"/>
          <w:footerReference w:type="even" r:id="rId8"/>
          <w:footerReference w:type="default" r:id="rId9"/>
          <w:pgSz w:w="12240" w:h="15840"/>
          <w:pgMar w:top="1440" w:right="1440" w:bottom="1440" w:left="1440" w:header="720" w:footer="720" w:gutter="0"/>
          <w:cols w:space="720"/>
          <w:noEndnote/>
        </w:sectPr>
      </w:pPr>
    </w:p>
    <w:p w14:paraId="7A12681B" w14:textId="7026F3BD" w:rsidR="00705324" w:rsidRDefault="00705324" w:rsidP="00314551">
      <w:pPr>
        <w:rPr>
          <w:sz w:val="22"/>
          <w:szCs w:val="22"/>
        </w:rPr>
      </w:pPr>
      <w:r>
        <w:rPr>
          <w:sz w:val="22"/>
          <w:szCs w:val="22"/>
        </w:rPr>
        <w:lastRenderedPageBreak/>
        <w:t>Attendance and participation</w:t>
      </w:r>
      <w:r>
        <w:rPr>
          <w:sz w:val="22"/>
          <w:szCs w:val="22"/>
        </w:rPr>
        <w:tab/>
      </w:r>
      <w:r>
        <w:rPr>
          <w:sz w:val="22"/>
          <w:szCs w:val="22"/>
        </w:rPr>
        <w:tab/>
        <w:t>20%</w:t>
      </w:r>
    </w:p>
    <w:p w14:paraId="2F30D8A8" w14:textId="583BD381" w:rsidR="00705324" w:rsidRDefault="00705324" w:rsidP="00314551">
      <w:pPr>
        <w:rPr>
          <w:sz w:val="22"/>
          <w:szCs w:val="22"/>
        </w:rPr>
      </w:pPr>
      <w:r>
        <w:rPr>
          <w:sz w:val="22"/>
          <w:szCs w:val="22"/>
        </w:rPr>
        <w:t>R</w:t>
      </w:r>
      <w:r w:rsidR="00623DF5">
        <w:rPr>
          <w:sz w:val="22"/>
          <w:szCs w:val="22"/>
        </w:rPr>
        <w:t>esponse paper #1 (due Sep. 12)</w:t>
      </w:r>
      <w:r w:rsidR="00623DF5">
        <w:rPr>
          <w:sz w:val="22"/>
          <w:szCs w:val="22"/>
        </w:rPr>
        <w:tab/>
      </w:r>
      <w:r>
        <w:rPr>
          <w:sz w:val="22"/>
          <w:szCs w:val="22"/>
        </w:rPr>
        <w:t>15%</w:t>
      </w:r>
    </w:p>
    <w:p w14:paraId="7FF480D1" w14:textId="660A49B2" w:rsidR="00705324" w:rsidRDefault="00705324" w:rsidP="00314551">
      <w:pPr>
        <w:rPr>
          <w:sz w:val="22"/>
          <w:szCs w:val="22"/>
        </w:rPr>
      </w:pPr>
      <w:r>
        <w:rPr>
          <w:sz w:val="22"/>
          <w:szCs w:val="22"/>
        </w:rPr>
        <w:t>Midterm paper (due Oct. 24)</w:t>
      </w:r>
      <w:r>
        <w:rPr>
          <w:sz w:val="22"/>
          <w:szCs w:val="22"/>
        </w:rPr>
        <w:tab/>
      </w:r>
      <w:r>
        <w:rPr>
          <w:sz w:val="22"/>
          <w:szCs w:val="22"/>
        </w:rPr>
        <w:tab/>
        <w:t>30%</w:t>
      </w:r>
    </w:p>
    <w:p w14:paraId="61FEBF52" w14:textId="1FA4FB70" w:rsidR="00705324" w:rsidRDefault="00705324" w:rsidP="00314551">
      <w:pPr>
        <w:rPr>
          <w:sz w:val="22"/>
          <w:szCs w:val="22"/>
        </w:rPr>
      </w:pPr>
      <w:r>
        <w:rPr>
          <w:sz w:val="22"/>
          <w:szCs w:val="22"/>
        </w:rPr>
        <w:lastRenderedPageBreak/>
        <w:t>R</w:t>
      </w:r>
      <w:r w:rsidR="00623DF5">
        <w:rPr>
          <w:sz w:val="22"/>
          <w:szCs w:val="22"/>
        </w:rPr>
        <w:t>esponse paper #2 (due Nov. 14)</w:t>
      </w:r>
      <w:r w:rsidR="00623DF5">
        <w:rPr>
          <w:sz w:val="22"/>
          <w:szCs w:val="22"/>
        </w:rPr>
        <w:tab/>
      </w:r>
      <w:r>
        <w:rPr>
          <w:sz w:val="22"/>
          <w:szCs w:val="22"/>
        </w:rPr>
        <w:t>20%</w:t>
      </w:r>
    </w:p>
    <w:p w14:paraId="56D80291" w14:textId="77777777" w:rsidR="00314551" w:rsidRDefault="00705324" w:rsidP="00314551">
      <w:pPr>
        <w:rPr>
          <w:sz w:val="22"/>
          <w:szCs w:val="22"/>
        </w:rPr>
        <w:sectPr w:rsidR="00314551" w:rsidSect="00314551">
          <w:type w:val="continuous"/>
          <w:pgSz w:w="12240" w:h="15840"/>
          <w:pgMar w:top="1440" w:right="1440" w:bottom="1440" w:left="1440" w:header="720" w:footer="720" w:gutter="0"/>
          <w:cols w:num="2" w:space="720"/>
          <w:noEndnote/>
        </w:sectPr>
      </w:pPr>
      <w:r>
        <w:rPr>
          <w:sz w:val="22"/>
          <w:szCs w:val="22"/>
        </w:rPr>
        <w:t>R</w:t>
      </w:r>
      <w:r w:rsidR="00623DF5">
        <w:rPr>
          <w:sz w:val="22"/>
          <w:szCs w:val="22"/>
        </w:rPr>
        <w:t>esponse paper #3 (due Dec. 12)</w:t>
      </w:r>
      <w:r w:rsidR="00623DF5">
        <w:rPr>
          <w:sz w:val="22"/>
          <w:szCs w:val="22"/>
        </w:rPr>
        <w:tab/>
      </w:r>
      <w:r>
        <w:rPr>
          <w:sz w:val="22"/>
          <w:szCs w:val="22"/>
        </w:rPr>
        <w:t>15%</w:t>
      </w:r>
    </w:p>
    <w:p w14:paraId="04FE8E20" w14:textId="360E1F6A" w:rsidR="00705324" w:rsidRDefault="00705324" w:rsidP="00314551">
      <w:pPr>
        <w:rPr>
          <w:sz w:val="22"/>
          <w:szCs w:val="22"/>
        </w:rPr>
      </w:pPr>
    </w:p>
    <w:p w14:paraId="2274C69E" w14:textId="77777777" w:rsidR="000A3ADF" w:rsidRPr="00C852CE" w:rsidRDefault="000A3ADF" w:rsidP="00705324">
      <w:pPr>
        <w:spacing w:before="120" w:after="120"/>
        <w:outlineLvl w:val="0"/>
        <w:rPr>
          <w:sz w:val="22"/>
          <w:szCs w:val="22"/>
        </w:rPr>
      </w:pPr>
      <w:r w:rsidRPr="00C852CE">
        <w:rPr>
          <w:sz w:val="22"/>
          <w:szCs w:val="22"/>
        </w:rPr>
        <w:lastRenderedPageBreak/>
        <w:t>A = 93-100, AB = 88-92, B = 83-87, BC = 78-82, C = 70-77, D = 60-69, F = 59 or below.</w:t>
      </w:r>
    </w:p>
    <w:p w14:paraId="74F460C7" w14:textId="51DC2AE0" w:rsidR="000A3ADF" w:rsidRDefault="000A3ADF" w:rsidP="00867740">
      <w:pPr>
        <w:spacing w:after="120"/>
        <w:rPr>
          <w:sz w:val="22"/>
          <w:szCs w:val="22"/>
        </w:rPr>
      </w:pPr>
      <w:r w:rsidRPr="001C68B5">
        <w:rPr>
          <w:b/>
          <w:bCs/>
          <w:sz w:val="22"/>
          <w:szCs w:val="22"/>
        </w:rPr>
        <w:t>Late policy:</w:t>
      </w:r>
      <w:r>
        <w:rPr>
          <w:sz w:val="22"/>
          <w:szCs w:val="22"/>
        </w:rPr>
        <w:t xml:space="preserve"> Grades will be reduced by 10% for each day </w:t>
      </w:r>
      <w:r w:rsidR="00867740">
        <w:rPr>
          <w:sz w:val="22"/>
          <w:szCs w:val="22"/>
        </w:rPr>
        <w:t>a</w:t>
      </w:r>
      <w:r>
        <w:rPr>
          <w:sz w:val="22"/>
          <w:szCs w:val="22"/>
        </w:rPr>
        <w:t xml:space="preserve"> paper is submitted late, and papers more than </w:t>
      </w:r>
      <w:r w:rsidR="00867740">
        <w:rPr>
          <w:sz w:val="22"/>
          <w:szCs w:val="22"/>
        </w:rPr>
        <w:t>3</w:t>
      </w:r>
      <w:r>
        <w:rPr>
          <w:sz w:val="22"/>
          <w:szCs w:val="22"/>
        </w:rPr>
        <w:t xml:space="preserve"> days late will not be accepted, unless you received an extension in writing in advance of the due date.</w:t>
      </w:r>
    </w:p>
    <w:p w14:paraId="5E31BA23" w14:textId="77777777" w:rsidR="000A3ADF" w:rsidRDefault="000A3ADF" w:rsidP="000A3ADF">
      <w:pPr>
        <w:rPr>
          <w:sz w:val="22"/>
          <w:szCs w:val="22"/>
        </w:rPr>
      </w:pPr>
      <w:r>
        <w:rPr>
          <w:sz w:val="22"/>
          <w:szCs w:val="22"/>
        </w:rPr>
        <w:t xml:space="preserve">If you are taking the course for </w:t>
      </w:r>
      <w:r w:rsidRPr="001C68B5">
        <w:rPr>
          <w:b/>
          <w:bCs/>
          <w:sz w:val="22"/>
          <w:szCs w:val="22"/>
        </w:rPr>
        <w:t>honors credit</w:t>
      </w:r>
      <w:r>
        <w:rPr>
          <w:sz w:val="22"/>
          <w:szCs w:val="22"/>
        </w:rPr>
        <w:t>, please see the instructor about additional requirements.</w:t>
      </w:r>
    </w:p>
    <w:p w14:paraId="34BEB6B1" w14:textId="77777777" w:rsidR="000A3ADF" w:rsidRPr="00C852CE" w:rsidRDefault="000A3ADF" w:rsidP="000A3ADF">
      <w:pPr>
        <w:rPr>
          <w:sz w:val="22"/>
          <w:szCs w:val="22"/>
        </w:rPr>
      </w:pPr>
    </w:p>
    <w:p w14:paraId="1373864F" w14:textId="61A7DA03" w:rsidR="000A3ADF" w:rsidRPr="00C852CE" w:rsidRDefault="00EE56DA" w:rsidP="00EE56DA">
      <w:pPr>
        <w:spacing w:after="120"/>
        <w:outlineLvl w:val="0"/>
        <w:rPr>
          <w:b/>
          <w:sz w:val="22"/>
          <w:szCs w:val="22"/>
        </w:rPr>
      </w:pPr>
      <w:r>
        <w:rPr>
          <w:b/>
          <w:sz w:val="22"/>
          <w:szCs w:val="22"/>
          <w:u w:val="single"/>
        </w:rPr>
        <w:t xml:space="preserve">Graduate-Level </w:t>
      </w:r>
      <w:r w:rsidR="000A3ADF" w:rsidRPr="00C852CE">
        <w:rPr>
          <w:b/>
          <w:sz w:val="22"/>
          <w:szCs w:val="22"/>
          <w:u w:val="single"/>
        </w:rPr>
        <w:t>Requirements</w:t>
      </w:r>
    </w:p>
    <w:p w14:paraId="51F44EA7" w14:textId="6B0570CA" w:rsidR="000A3ADF" w:rsidRPr="00C852CE" w:rsidRDefault="00B3588D" w:rsidP="00B3588D">
      <w:pPr>
        <w:spacing w:after="120"/>
        <w:ind w:right="260"/>
        <w:rPr>
          <w:sz w:val="22"/>
          <w:szCs w:val="22"/>
        </w:rPr>
      </w:pPr>
      <w:r>
        <w:rPr>
          <w:b/>
          <w:sz w:val="22"/>
          <w:szCs w:val="22"/>
        </w:rPr>
        <w:t>Reading assignments</w:t>
      </w:r>
      <w:r w:rsidR="000A3ADF" w:rsidRPr="00C852CE">
        <w:rPr>
          <w:b/>
          <w:sz w:val="22"/>
          <w:szCs w:val="22"/>
        </w:rPr>
        <w:t>:</w:t>
      </w:r>
      <w:r w:rsidR="006379B6">
        <w:rPr>
          <w:sz w:val="22"/>
          <w:szCs w:val="22"/>
        </w:rPr>
        <w:t xml:space="preserve"> s</w:t>
      </w:r>
      <w:r w:rsidR="000A3ADF">
        <w:rPr>
          <w:sz w:val="22"/>
          <w:szCs w:val="22"/>
        </w:rPr>
        <w:t>ame as above</w:t>
      </w:r>
      <w:r w:rsidR="000A3ADF" w:rsidRPr="00C852CE">
        <w:rPr>
          <w:sz w:val="22"/>
          <w:szCs w:val="22"/>
        </w:rPr>
        <w:t>.</w:t>
      </w:r>
    </w:p>
    <w:p w14:paraId="247A4139" w14:textId="7CD57DDD" w:rsidR="000A3ADF" w:rsidRPr="00C852CE" w:rsidRDefault="000A3ADF" w:rsidP="000A3ADF">
      <w:pPr>
        <w:spacing w:after="120"/>
        <w:ind w:right="160"/>
        <w:jc w:val="both"/>
        <w:rPr>
          <w:sz w:val="22"/>
          <w:szCs w:val="22"/>
        </w:rPr>
      </w:pPr>
      <w:r w:rsidRPr="00C852CE">
        <w:rPr>
          <w:b/>
          <w:sz w:val="22"/>
          <w:szCs w:val="22"/>
        </w:rPr>
        <w:t>Attendance and participation</w:t>
      </w:r>
      <w:r w:rsidRPr="00C852CE">
        <w:rPr>
          <w:sz w:val="22"/>
          <w:szCs w:val="22"/>
        </w:rPr>
        <w:t xml:space="preserve">: </w:t>
      </w:r>
      <w:r w:rsidR="006379B6">
        <w:rPr>
          <w:sz w:val="22"/>
          <w:szCs w:val="22"/>
        </w:rPr>
        <w:t>s</w:t>
      </w:r>
      <w:r>
        <w:rPr>
          <w:sz w:val="22"/>
          <w:szCs w:val="22"/>
        </w:rPr>
        <w:t>ame as above</w:t>
      </w:r>
      <w:r w:rsidRPr="00C852CE">
        <w:rPr>
          <w:sz w:val="22"/>
          <w:szCs w:val="22"/>
        </w:rPr>
        <w:t>.</w:t>
      </w:r>
    </w:p>
    <w:p w14:paraId="0124F869" w14:textId="0DF67980" w:rsidR="000A3ADF" w:rsidRPr="00C852CE" w:rsidRDefault="000A3ADF" w:rsidP="000A3ADF">
      <w:pPr>
        <w:spacing w:after="120"/>
        <w:ind w:right="14"/>
        <w:rPr>
          <w:sz w:val="22"/>
          <w:szCs w:val="22"/>
        </w:rPr>
      </w:pPr>
      <w:r w:rsidRPr="00C852CE">
        <w:rPr>
          <w:b/>
          <w:sz w:val="22"/>
          <w:szCs w:val="22"/>
        </w:rPr>
        <w:t>Class</w:t>
      </w:r>
      <w:r>
        <w:rPr>
          <w:b/>
          <w:sz w:val="22"/>
          <w:szCs w:val="22"/>
        </w:rPr>
        <w:t xml:space="preserve"> presentation</w:t>
      </w:r>
      <w:r w:rsidR="00B3588D">
        <w:rPr>
          <w:b/>
          <w:sz w:val="22"/>
          <w:szCs w:val="22"/>
        </w:rPr>
        <w:t>:</w:t>
      </w:r>
      <w:r w:rsidRPr="00C852CE">
        <w:rPr>
          <w:sz w:val="22"/>
          <w:szCs w:val="22"/>
        </w:rPr>
        <w:t xml:space="preserve"> Each graduate student is required to make a presentation on the required readings for one </w:t>
      </w:r>
      <w:r>
        <w:rPr>
          <w:sz w:val="22"/>
          <w:szCs w:val="22"/>
        </w:rPr>
        <w:t>class meeting</w:t>
      </w:r>
      <w:r w:rsidRPr="00C852CE">
        <w:rPr>
          <w:sz w:val="22"/>
          <w:szCs w:val="22"/>
        </w:rPr>
        <w:t xml:space="preserve">. The </w:t>
      </w:r>
      <w:r>
        <w:rPr>
          <w:sz w:val="22"/>
          <w:szCs w:val="22"/>
        </w:rPr>
        <w:t>presentation should be about 10–</w:t>
      </w:r>
      <w:r w:rsidRPr="00C852CE">
        <w:rPr>
          <w:sz w:val="22"/>
          <w:szCs w:val="22"/>
        </w:rPr>
        <w:t xml:space="preserve">15 minutes. The purpose of the presentation is not to provide a summary of the reading—you should assume that everyone has carefully read the material in advance—but to open the discussion by (a) relating the assigned readings to each other and to texts we have previously discussed, e.g., by noting similarities and differences in the positions of different authors; (b) identifying what you see as the key issues raised by the assigned readings; and (c) raising questions/lines of discussion. Among the types of questions you might raise are </w:t>
      </w:r>
      <w:r w:rsidRPr="00C852CE">
        <w:rPr>
          <w:i/>
          <w:sz w:val="22"/>
          <w:szCs w:val="22"/>
        </w:rPr>
        <w:t>exploratory</w:t>
      </w:r>
      <w:r w:rsidRPr="00C852CE">
        <w:rPr>
          <w:sz w:val="22"/>
          <w:szCs w:val="22"/>
        </w:rPr>
        <w:t xml:space="preserve"> questions that probe evidence; </w:t>
      </w:r>
      <w:r w:rsidRPr="00C852CE">
        <w:rPr>
          <w:i/>
          <w:sz w:val="22"/>
          <w:szCs w:val="22"/>
        </w:rPr>
        <w:t>challenge</w:t>
      </w:r>
      <w:r w:rsidRPr="00C852CE">
        <w:rPr>
          <w:sz w:val="22"/>
          <w:szCs w:val="22"/>
        </w:rPr>
        <w:t xml:space="preserve"> questions that examine assumptions and conclusions; </w:t>
      </w:r>
      <w:r w:rsidRPr="00C852CE">
        <w:rPr>
          <w:i/>
          <w:sz w:val="22"/>
          <w:szCs w:val="22"/>
        </w:rPr>
        <w:t>relational</w:t>
      </w:r>
      <w:r w:rsidRPr="00C852CE">
        <w:rPr>
          <w:sz w:val="22"/>
          <w:szCs w:val="22"/>
        </w:rPr>
        <w:t xml:space="preserve"> questions that ask for comparisons of themes, ideas, or issues;</w:t>
      </w:r>
      <w:r w:rsidRPr="00C852CE">
        <w:rPr>
          <w:i/>
          <w:sz w:val="22"/>
          <w:szCs w:val="22"/>
        </w:rPr>
        <w:t xml:space="preserve"> interpretive</w:t>
      </w:r>
      <w:r w:rsidRPr="00C852CE">
        <w:rPr>
          <w:sz w:val="22"/>
          <w:szCs w:val="22"/>
        </w:rPr>
        <w:t xml:space="preserve"> questions that probe motives or meanings of social action; </w:t>
      </w:r>
      <w:r w:rsidRPr="00C852CE">
        <w:rPr>
          <w:i/>
          <w:sz w:val="22"/>
          <w:szCs w:val="22"/>
        </w:rPr>
        <w:t>cause-and-effect</w:t>
      </w:r>
      <w:r w:rsidRPr="00C852CE">
        <w:rPr>
          <w:sz w:val="22"/>
          <w:szCs w:val="22"/>
        </w:rPr>
        <w:t xml:space="preserve"> questions that ask about causal relationships among ideas, actions, and events; </w:t>
      </w:r>
      <w:r w:rsidRPr="00C852CE">
        <w:rPr>
          <w:i/>
          <w:sz w:val="22"/>
          <w:szCs w:val="22"/>
        </w:rPr>
        <w:t>counterfactual</w:t>
      </w:r>
      <w:r w:rsidRPr="00C852CE">
        <w:rPr>
          <w:sz w:val="22"/>
          <w:szCs w:val="22"/>
        </w:rPr>
        <w:t xml:space="preserve"> questions that pose a hypothetical change in the facts; </w:t>
      </w:r>
      <w:r w:rsidRPr="00C852CE">
        <w:rPr>
          <w:i/>
          <w:sz w:val="22"/>
          <w:szCs w:val="22"/>
        </w:rPr>
        <w:t>priority</w:t>
      </w:r>
      <w:r w:rsidRPr="00C852CE">
        <w:rPr>
          <w:sz w:val="22"/>
          <w:szCs w:val="22"/>
        </w:rPr>
        <w:t xml:space="preserve"> questions that seek to identify the most important issue; and</w:t>
      </w:r>
      <w:r w:rsidRPr="00C852CE">
        <w:rPr>
          <w:i/>
          <w:sz w:val="22"/>
          <w:szCs w:val="22"/>
        </w:rPr>
        <w:t xml:space="preserve"> summary</w:t>
      </w:r>
      <w:r w:rsidRPr="00C852CE">
        <w:rPr>
          <w:sz w:val="22"/>
          <w:szCs w:val="22"/>
        </w:rPr>
        <w:t xml:space="preserve"> questions that elicit syntheses. </w:t>
      </w:r>
      <w:r>
        <w:rPr>
          <w:sz w:val="22"/>
          <w:szCs w:val="22"/>
        </w:rPr>
        <w:t xml:space="preserve">After the presentation, you will be expected to </w:t>
      </w:r>
      <w:r w:rsidRPr="00C852CE">
        <w:rPr>
          <w:sz w:val="22"/>
          <w:szCs w:val="22"/>
        </w:rPr>
        <w:t xml:space="preserve">facilitate </w:t>
      </w:r>
      <w:r>
        <w:rPr>
          <w:sz w:val="22"/>
          <w:szCs w:val="22"/>
        </w:rPr>
        <w:t>the discussion together with the instructor</w:t>
      </w:r>
      <w:r w:rsidRPr="00C852CE">
        <w:rPr>
          <w:sz w:val="22"/>
          <w:szCs w:val="22"/>
        </w:rPr>
        <w:t>.</w:t>
      </w:r>
    </w:p>
    <w:p w14:paraId="372D9957" w14:textId="152C3A38" w:rsidR="002C795A" w:rsidRPr="00D32EB3" w:rsidRDefault="007D312C" w:rsidP="002C795A">
      <w:pPr>
        <w:spacing w:after="120"/>
        <w:ind w:right="80"/>
        <w:rPr>
          <w:sz w:val="22"/>
          <w:szCs w:val="22"/>
        </w:rPr>
      </w:pPr>
      <w:r>
        <w:rPr>
          <w:sz w:val="22"/>
          <w:szCs w:val="22"/>
        </w:rPr>
        <w:t>A 1–</w:t>
      </w:r>
      <w:r w:rsidR="002C795A" w:rsidRPr="00C852CE">
        <w:rPr>
          <w:sz w:val="22"/>
          <w:szCs w:val="22"/>
        </w:rPr>
        <w:t xml:space="preserve">2 page </w:t>
      </w:r>
      <w:r w:rsidR="002C795A" w:rsidRPr="00C852CE">
        <w:rPr>
          <w:b/>
          <w:sz w:val="22"/>
          <w:szCs w:val="22"/>
        </w:rPr>
        <w:t>prospectus</w:t>
      </w:r>
      <w:r w:rsidR="002C795A">
        <w:rPr>
          <w:sz w:val="22"/>
          <w:szCs w:val="22"/>
        </w:rPr>
        <w:t xml:space="preserve"> for a term paper, emailed to the instructor </w:t>
      </w:r>
      <w:r w:rsidR="002C795A" w:rsidRPr="00C852CE">
        <w:rPr>
          <w:sz w:val="22"/>
          <w:szCs w:val="22"/>
        </w:rPr>
        <w:t xml:space="preserve">no later than </w:t>
      </w:r>
      <w:r w:rsidR="002C795A">
        <w:rPr>
          <w:sz w:val="22"/>
          <w:szCs w:val="22"/>
        </w:rPr>
        <w:t>Nov.</w:t>
      </w:r>
      <w:r w:rsidR="002C795A" w:rsidRPr="00C852CE">
        <w:rPr>
          <w:sz w:val="22"/>
          <w:szCs w:val="22"/>
        </w:rPr>
        <w:t xml:space="preserve"> </w:t>
      </w:r>
      <w:r w:rsidR="002C795A">
        <w:rPr>
          <w:sz w:val="22"/>
          <w:szCs w:val="22"/>
        </w:rPr>
        <w:t>28</w:t>
      </w:r>
      <w:r w:rsidR="002C795A" w:rsidRPr="00C852CE">
        <w:rPr>
          <w:sz w:val="22"/>
          <w:szCs w:val="22"/>
        </w:rPr>
        <w:t xml:space="preserve"> at </w:t>
      </w:r>
      <w:r w:rsidR="002C795A">
        <w:rPr>
          <w:sz w:val="22"/>
          <w:szCs w:val="22"/>
        </w:rPr>
        <w:t>11:00 am</w:t>
      </w:r>
      <w:r w:rsidR="002C795A" w:rsidRPr="00C852CE">
        <w:rPr>
          <w:sz w:val="22"/>
          <w:szCs w:val="22"/>
        </w:rPr>
        <w:t xml:space="preserve">. </w:t>
      </w:r>
      <w:r w:rsidR="002C795A">
        <w:rPr>
          <w:sz w:val="22"/>
          <w:szCs w:val="22"/>
        </w:rPr>
        <w:t xml:space="preserve">The term paper is a </w:t>
      </w:r>
      <w:r w:rsidR="002C795A" w:rsidRPr="00CA0EF1">
        <w:rPr>
          <w:sz w:val="22"/>
          <w:szCs w:val="22"/>
        </w:rPr>
        <w:t>textual analysis paper</w:t>
      </w:r>
      <w:r w:rsidR="002C795A">
        <w:rPr>
          <w:sz w:val="22"/>
          <w:szCs w:val="22"/>
        </w:rPr>
        <w:t>, not an empirical research paper. It</w:t>
      </w:r>
      <w:r w:rsidR="002C795A" w:rsidRPr="00C852CE">
        <w:rPr>
          <w:sz w:val="22"/>
          <w:szCs w:val="22"/>
        </w:rPr>
        <w:t xml:space="preserve"> should </w:t>
      </w:r>
      <w:r w:rsidR="002C795A">
        <w:rPr>
          <w:sz w:val="22"/>
          <w:szCs w:val="22"/>
        </w:rPr>
        <w:t>address build upon and engage</w:t>
      </w:r>
      <w:r w:rsidR="002C795A" w:rsidRPr="00C852CE">
        <w:rPr>
          <w:sz w:val="22"/>
          <w:szCs w:val="22"/>
        </w:rPr>
        <w:t xml:space="preserve"> </w:t>
      </w:r>
      <w:r w:rsidR="002C795A">
        <w:rPr>
          <w:sz w:val="22"/>
          <w:szCs w:val="22"/>
        </w:rPr>
        <w:t>relevant</w:t>
      </w:r>
      <w:r w:rsidR="002C795A" w:rsidRPr="00C852CE">
        <w:rPr>
          <w:sz w:val="22"/>
          <w:szCs w:val="22"/>
        </w:rPr>
        <w:t xml:space="preserve"> assigned readings</w:t>
      </w:r>
      <w:r w:rsidR="002C795A">
        <w:rPr>
          <w:sz w:val="22"/>
          <w:szCs w:val="22"/>
        </w:rPr>
        <w:t xml:space="preserve"> to address a</w:t>
      </w:r>
      <w:r w:rsidR="002C795A" w:rsidRPr="00C852CE">
        <w:rPr>
          <w:sz w:val="22"/>
          <w:szCs w:val="22"/>
        </w:rPr>
        <w:t xml:space="preserve"> particular </w:t>
      </w:r>
      <w:r w:rsidR="002C795A">
        <w:rPr>
          <w:sz w:val="22"/>
          <w:szCs w:val="22"/>
        </w:rPr>
        <w:t>question, issue,</w:t>
      </w:r>
      <w:r w:rsidR="002C795A" w:rsidRPr="00C852CE">
        <w:rPr>
          <w:sz w:val="22"/>
          <w:szCs w:val="22"/>
        </w:rPr>
        <w:t xml:space="preserve"> or controversy covered during</w:t>
      </w:r>
      <w:r w:rsidR="002C795A">
        <w:rPr>
          <w:sz w:val="22"/>
          <w:szCs w:val="22"/>
        </w:rPr>
        <w:t xml:space="preserve"> </w:t>
      </w:r>
      <w:r w:rsidR="002C795A" w:rsidRPr="00D32EB3">
        <w:rPr>
          <w:sz w:val="22"/>
          <w:szCs w:val="22"/>
        </w:rPr>
        <w:t>the semester. The prospectus must indicate the question your paper will address, your thesis (i.e., answer to the question), sources of textual evidence you will likely use, and how you plan to organize the paper.</w:t>
      </w:r>
    </w:p>
    <w:p w14:paraId="63ECA922" w14:textId="768972B8" w:rsidR="000A3ADF" w:rsidRDefault="002C795A" w:rsidP="002C795A">
      <w:pPr>
        <w:spacing w:after="120"/>
        <w:ind w:right="40"/>
        <w:rPr>
          <w:sz w:val="22"/>
          <w:szCs w:val="22"/>
        </w:rPr>
      </w:pPr>
      <w:r w:rsidRPr="00D32EB3">
        <w:rPr>
          <w:sz w:val="22"/>
          <w:szCs w:val="22"/>
        </w:rPr>
        <w:t xml:space="preserve">A </w:t>
      </w:r>
      <w:r w:rsidRPr="00D32EB3">
        <w:rPr>
          <w:b/>
          <w:sz w:val="22"/>
          <w:szCs w:val="22"/>
        </w:rPr>
        <w:t>term paper</w:t>
      </w:r>
      <w:r w:rsidRPr="00D32EB3">
        <w:rPr>
          <w:sz w:val="22"/>
          <w:szCs w:val="22"/>
        </w:rPr>
        <w:t xml:space="preserve">, following the plan of an approved prospectus, emailed to the instructor no later than </w:t>
      </w:r>
      <w:r>
        <w:rPr>
          <w:sz w:val="22"/>
          <w:szCs w:val="22"/>
        </w:rPr>
        <w:t>11:00 a</w:t>
      </w:r>
      <w:r w:rsidRPr="00D32EB3">
        <w:rPr>
          <w:sz w:val="22"/>
          <w:szCs w:val="22"/>
        </w:rPr>
        <w:t>m on Dec. 14. Your paper may not exceed 8,000 words maximum, including references and endnotes. I will stop reading beyond 8,000 words.</w:t>
      </w:r>
    </w:p>
    <w:p w14:paraId="53E1F171" w14:textId="2A95B99C" w:rsidR="001D24E0" w:rsidRPr="00C852CE" w:rsidRDefault="001D24E0" w:rsidP="001D24E0">
      <w:pPr>
        <w:spacing w:after="120"/>
        <w:ind w:right="40"/>
        <w:rPr>
          <w:sz w:val="22"/>
          <w:szCs w:val="22"/>
        </w:rPr>
      </w:pPr>
      <w:r w:rsidRPr="001D24E0">
        <w:rPr>
          <w:sz w:val="22"/>
          <w:szCs w:val="22"/>
        </w:rPr>
        <w:t>All written work must be typed in 12-point font, double-spaced, paginated, and submitted via Canvas.</w:t>
      </w:r>
    </w:p>
    <w:p w14:paraId="0921761A" w14:textId="77777777" w:rsidR="000A3ADF" w:rsidRDefault="000A3ADF" w:rsidP="000A3ADF">
      <w:pPr>
        <w:spacing w:after="120"/>
        <w:rPr>
          <w:sz w:val="22"/>
          <w:szCs w:val="22"/>
        </w:rPr>
      </w:pPr>
      <w:r w:rsidRPr="00705324">
        <w:rPr>
          <w:sz w:val="22"/>
          <w:szCs w:val="22"/>
        </w:rPr>
        <w:t>Your overall grade for the semester will be calculated on a 100-point scale as follows:</w:t>
      </w:r>
    </w:p>
    <w:p w14:paraId="740A5F70" w14:textId="77777777" w:rsidR="00314551" w:rsidRDefault="00314551" w:rsidP="00314551">
      <w:pPr>
        <w:rPr>
          <w:sz w:val="22"/>
          <w:szCs w:val="22"/>
        </w:rPr>
        <w:sectPr w:rsidR="00314551" w:rsidSect="00314551">
          <w:type w:val="continuous"/>
          <w:pgSz w:w="12240" w:h="15840"/>
          <w:pgMar w:top="1440" w:right="1440" w:bottom="1440" w:left="1440" w:header="720" w:footer="720" w:gutter="0"/>
          <w:cols w:space="720"/>
          <w:noEndnote/>
        </w:sectPr>
      </w:pPr>
    </w:p>
    <w:p w14:paraId="12535A0A" w14:textId="24EEB109" w:rsidR="00314551" w:rsidRPr="00314551" w:rsidRDefault="00314551" w:rsidP="00314551">
      <w:pPr>
        <w:rPr>
          <w:sz w:val="22"/>
          <w:szCs w:val="22"/>
        </w:rPr>
      </w:pPr>
      <w:r>
        <w:rPr>
          <w:sz w:val="22"/>
          <w:szCs w:val="22"/>
        </w:rPr>
        <w:lastRenderedPageBreak/>
        <w:t>Attendance and participation:</w:t>
      </w:r>
      <w:r>
        <w:rPr>
          <w:sz w:val="22"/>
          <w:szCs w:val="22"/>
        </w:rPr>
        <w:tab/>
      </w:r>
      <w:r w:rsidRPr="00314551">
        <w:rPr>
          <w:sz w:val="22"/>
          <w:szCs w:val="22"/>
        </w:rPr>
        <w:t>30%</w:t>
      </w:r>
    </w:p>
    <w:p w14:paraId="22B1DF6B" w14:textId="7967884B" w:rsidR="00314551" w:rsidRPr="00314551" w:rsidRDefault="00314551" w:rsidP="00314551">
      <w:pPr>
        <w:rPr>
          <w:sz w:val="22"/>
          <w:szCs w:val="22"/>
        </w:rPr>
      </w:pPr>
      <w:r w:rsidRPr="00314551">
        <w:rPr>
          <w:sz w:val="22"/>
          <w:szCs w:val="22"/>
        </w:rPr>
        <w:t>Presentation</w:t>
      </w:r>
      <w:r w:rsidR="00340E81">
        <w:rPr>
          <w:sz w:val="22"/>
          <w:szCs w:val="22"/>
        </w:rPr>
        <w:t xml:space="preserve"> (date TBD)</w:t>
      </w:r>
      <w:r w:rsidRPr="00314551">
        <w:rPr>
          <w:sz w:val="22"/>
          <w:szCs w:val="22"/>
        </w:rPr>
        <w:t xml:space="preserve">: </w:t>
      </w:r>
      <w:r>
        <w:rPr>
          <w:sz w:val="22"/>
          <w:szCs w:val="22"/>
        </w:rPr>
        <w:tab/>
      </w:r>
      <w:r w:rsidRPr="00314551">
        <w:rPr>
          <w:sz w:val="22"/>
          <w:szCs w:val="22"/>
        </w:rPr>
        <w:t>20%</w:t>
      </w:r>
    </w:p>
    <w:p w14:paraId="1CD4BEAD" w14:textId="104DE954" w:rsidR="00314551" w:rsidRPr="00314551" w:rsidRDefault="00314551" w:rsidP="00314551">
      <w:pPr>
        <w:rPr>
          <w:sz w:val="22"/>
          <w:szCs w:val="22"/>
        </w:rPr>
      </w:pPr>
      <w:r w:rsidRPr="00314551">
        <w:rPr>
          <w:sz w:val="22"/>
          <w:szCs w:val="22"/>
        </w:rPr>
        <w:lastRenderedPageBreak/>
        <w:t>Prospectus</w:t>
      </w:r>
      <w:r w:rsidR="00340E81">
        <w:rPr>
          <w:sz w:val="22"/>
          <w:szCs w:val="22"/>
        </w:rPr>
        <w:t xml:space="preserve"> (due Nov. 28)</w:t>
      </w:r>
      <w:r w:rsidRPr="00314551">
        <w:rPr>
          <w:sz w:val="22"/>
          <w:szCs w:val="22"/>
        </w:rPr>
        <w:t xml:space="preserve">: </w:t>
      </w:r>
      <w:r>
        <w:rPr>
          <w:sz w:val="22"/>
          <w:szCs w:val="22"/>
        </w:rPr>
        <w:tab/>
      </w:r>
      <w:r w:rsidRPr="00314551">
        <w:rPr>
          <w:sz w:val="22"/>
          <w:szCs w:val="22"/>
        </w:rPr>
        <w:t>15%</w:t>
      </w:r>
    </w:p>
    <w:p w14:paraId="2AE37884" w14:textId="3A90D7A5" w:rsidR="00314551" w:rsidRPr="00705324" w:rsidRDefault="00314551" w:rsidP="00314551">
      <w:pPr>
        <w:rPr>
          <w:sz w:val="22"/>
          <w:szCs w:val="22"/>
        </w:rPr>
      </w:pPr>
      <w:r w:rsidRPr="00314551">
        <w:rPr>
          <w:sz w:val="22"/>
          <w:szCs w:val="22"/>
        </w:rPr>
        <w:t>Term paper</w:t>
      </w:r>
      <w:r w:rsidR="00340E81">
        <w:rPr>
          <w:sz w:val="22"/>
          <w:szCs w:val="22"/>
        </w:rPr>
        <w:t xml:space="preserve"> (due Dec. 14)</w:t>
      </w:r>
      <w:r w:rsidRPr="00314551">
        <w:rPr>
          <w:sz w:val="22"/>
          <w:szCs w:val="22"/>
        </w:rPr>
        <w:t xml:space="preserve">: </w:t>
      </w:r>
      <w:r>
        <w:rPr>
          <w:sz w:val="22"/>
          <w:szCs w:val="22"/>
        </w:rPr>
        <w:tab/>
      </w:r>
      <w:r w:rsidRPr="00314551">
        <w:rPr>
          <w:sz w:val="22"/>
          <w:szCs w:val="22"/>
        </w:rPr>
        <w:t>35%</w:t>
      </w:r>
    </w:p>
    <w:p w14:paraId="039F76AF" w14:textId="77777777" w:rsidR="00314551" w:rsidRDefault="00314551" w:rsidP="000A3ADF">
      <w:pPr>
        <w:spacing w:before="120"/>
        <w:rPr>
          <w:sz w:val="22"/>
          <w:szCs w:val="22"/>
        </w:rPr>
        <w:sectPr w:rsidR="00314551" w:rsidSect="00314551">
          <w:type w:val="continuous"/>
          <w:pgSz w:w="12240" w:h="15840"/>
          <w:pgMar w:top="1440" w:right="1440" w:bottom="1440" w:left="1440" w:header="720" w:footer="720" w:gutter="0"/>
          <w:cols w:num="2" w:space="720"/>
          <w:noEndnote/>
        </w:sectPr>
      </w:pPr>
    </w:p>
    <w:p w14:paraId="72A2E328" w14:textId="4CFC3C3B" w:rsidR="000A3ADF" w:rsidRPr="00C852CE" w:rsidRDefault="000A3ADF" w:rsidP="000A3ADF">
      <w:pPr>
        <w:spacing w:before="120"/>
        <w:rPr>
          <w:sz w:val="22"/>
          <w:szCs w:val="22"/>
        </w:rPr>
      </w:pPr>
      <w:r w:rsidRPr="00705324">
        <w:rPr>
          <w:sz w:val="22"/>
          <w:szCs w:val="22"/>
        </w:rPr>
        <w:lastRenderedPageBreak/>
        <w:t>A = 93-100, AB = 88-92, B = 83-87, BC = 78-82, C = 70-77, D = 60-69, F = 59 or below.</w:t>
      </w:r>
    </w:p>
    <w:p w14:paraId="6DF1579C" w14:textId="77777777" w:rsidR="000A3ADF" w:rsidRDefault="000A3ADF" w:rsidP="000A3ADF">
      <w:pPr>
        <w:spacing w:before="120"/>
        <w:rPr>
          <w:sz w:val="22"/>
          <w:szCs w:val="22"/>
        </w:rPr>
      </w:pPr>
      <w:r w:rsidRPr="001C68B5">
        <w:rPr>
          <w:b/>
          <w:bCs/>
          <w:sz w:val="22"/>
          <w:szCs w:val="22"/>
        </w:rPr>
        <w:t>Late policy:</w:t>
      </w:r>
      <w:r>
        <w:rPr>
          <w:sz w:val="22"/>
          <w:szCs w:val="22"/>
        </w:rPr>
        <w:t xml:space="preserve"> Grades for the prospectus and term paper will be reduced by 10% for each day the assignment is submitted late, and assignments more than three days late will not be accepted, unless you have received an extension in writing in advance of the due date.</w:t>
      </w:r>
    </w:p>
    <w:p w14:paraId="5EBAF308" w14:textId="77777777" w:rsidR="000A3ADF" w:rsidRDefault="000A3ADF" w:rsidP="000A3ADF">
      <w:pPr>
        <w:rPr>
          <w:sz w:val="22"/>
          <w:szCs w:val="22"/>
        </w:rPr>
      </w:pPr>
    </w:p>
    <w:p w14:paraId="3A46C086" w14:textId="03D8F257" w:rsidR="000A3ADF" w:rsidRPr="001C68B5" w:rsidRDefault="000A3ADF" w:rsidP="000A3ADF">
      <w:pPr>
        <w:spacing w:after="120"/>
        <w:rPr>
          <w:b/>
          <w:bCs/>
          <w:sz w:val="22"/>
          <w:szCs w:val="22"/>
          <w:u w:val="single"/>
        </w:rPr>
      </w:pPr>
      <w:r w:rsidRPr="001C68B5">
        <w:rPr>
          <w:b/>
          <w:bCs/>
          <w:sz w:val="22"/>
          <w:szCs w:val="22"/>
          <w:u w:val="single"/>
        </w:rPr>
        <w:t>Ac</w:t>
      </w:r>
      <w:r w:rsidR="00EE56DA">
        <w:rPr>
          <w:b/>
          <w:bCs/>
          <w:sz w:val="22"/>
          <w:szCs w:val="22"/>
          <w:u w:val="single"/>
        </w:rPr>
        <w:t>ademic P</w:t>
      </w:r>
      <w:r w:rsidRPr="001C68B5">
        <w:rPr>
          <w:b/>
          <w:bCs/>
          <w:sz w:val="22"/>
          <w:szCs w:val="22"/>
          <w:u w:val="single"/>
        </w:rPr>
        <w:t>olicies</w:t>
      </w:r>
    </w:p>
    <w:p w14:paraId="475498F0" w14:textId="038167C7" w:rsidR="000A3ADF" w:rsidRPr="00C852CE" w:rsidRDefault="000A3ADF" w:rsidP="007D69FD">
      <w:pPr>
        <w:spacing w:after="120"/>
        <w:ind w:right="220"/>
        <w:rPr>
          <w:sz w:val="22"/>
          <w:szCs w:val="22"/>
        </w:rPr>
      </w:pPr>
      <w:r w:rsidRPr="00C852CE">
        <w:rPr>
          <w:b/>
          <w:sz w:val="22"/>
          <w:szCs w:val="22"/>
        </w:rPr>
        <w:t>Accommodations:</w:t>
      </w:r>
      <w:r w:rsidRPr="00C852CE">
        <w:rPr>
          <w:sz w:val="22"/>
          <w:szCs w:val="22"/>
        </w:rPr>
        <w:t xml:space="preserve"> Accommodations </w:t>
      </w:r>
      <w:r w:rsidR="00197134">
        <w:rPr>
          <w:sz w:val="22"/>
          <w:szCs w:val="22"/>
        </w:rPr>
        <w:t>may be</w:t>
      </w:r>
      <w:r w:rsidRPr="00C852CE">
        <w:rPr>
          <w:sz w:val="22"/>
          <w:szCs w:val="22"/>
        </w:rPr>
        <w:t xml:space="preserve"> provided for students who qualify for disability services through the</w:t>
      </w:r>
      <w:r w:rsidRPr="00C852CE">
        <w:rPr>
          <w:color w:val="0000FF"/>
          <w:sz w:val="22"/>
          <w:szCs w:val="22"/>
        </w:rPr>
        <w:t xml:space="preserve"> </w:t>
      </w:r>
      <w:hyperlink r:id="rId10" w:history="1">
        <w:r w:rsidRPr="000A7CDB">
          <w:rPr>
            <w:rStyle w:val="Hyperlink"/>
            <w:sz w:val="22"/>
            <w:szCs w:val="22"/>
          </w:rPr>
          <w:t>McBurney Center</w:t>
        </w:r>
      </w:hyperlink>
      <w:r w:rsidRPr="00C852CE">
        <w:rPr>
          <w:sz w:val="22"/>
          <w:szCs w:val="22"/>
        </w:rPr>
        <w:t xml:space="preserve">. </w:t>
      </w:r>
      <w:r w:rsidR="007D69FD">
        <w:rPr>
          <w:sz w:val="22"/>
          <w:szCs w:val="22"/>
        </w:rPr>
        <w:t>R</w:t>
      </w:r>
      <w:r w:rsidRPr="00C852CE">
        <w:rPr>
          <w:sz w:val="22"/>
          <w:szCs w:val="22"/>
        </w:rPr>
        <w:t xml:space="preserve">eligious observances </w:t>
      </w:r>
      <w:r w:rsidR="007D69FD">
        <w:rPr>
          <w:sz w:val="22"/>
          <w:szCs w:val="22"/>
        </w:rPr>
        <w:t xml:space="preserve">will </w:t>
      </w:r>
      <w:r w:rsidRPr="00C852CE">
        <w:rPr>
          <w:sz w:val="22"/>
          <w:szCs w:val="22"/>
        </w:rPr>
        <w:t xml:space="preserve">be accommodated if you make a timely request early in the term; see </w:t>
      </w:r>
      <w:hyperlink r:id="rId11" w:history="1">
        <w:r w:rsidR="00197134" w:rsidRPr="00197134">
          <w:rPr>
            <w:rStyle w:val="Hyperlink"/>
            <w:sz w:val="22"/>
            <w:szCs w:val="22"/>
          </w:rPr>
          <w:t>here</w:t>
        </w:r>
      </w:hyperlink>
      <w:r w:rsidR="00197134">
        <w:rPr>
          <w:sz w:val="22"/>
          <w:szCs w:val="22"/>
        </w:rPr>
        <w:t xml:space="preserve"> </w:t>
      </w:r>
      <w:r w:rsidRPr="00C852CE">
        <w:rPr>
          <w:sz w:val="22"/>
          <w:szCs w:val="22"/>
        </w:rPr>
        <w:t>for details.</w:t>
      </w:r>
    </w:p>
    <w:p w14:paraId="137C1B3D" w14:textId="77777777" w:rsidR="000A3ADF" w:rsidRDefault="000A3ADF" w:rsidP="00197134">
      <w:pPr>
        <w:ind w:right="14"/>
        <w:rPr>
          <w:sz w:val="22"/>
          <w:szCs w:val="22"/>
        </w:rPr>
      </w:pPr>
      <w:r w:rsidRPr="00C852CE">
        <w:rPr>
          <w:b/>
          <w:sz w:val="22"/>
          <w:szCs w:val="22"/>
        </w:rPr>
        <w:lastRenderedPageBreak/>
        <w:t>Academic honesty:</w:t>
      </w:r>
      <w:r w:rsidRPr="00C852CE">
        <w:rPr>
          <w:sz w:val="22"/>
          <w:szCs w:val="22"/>
        </w:rPr>
        <w:t xml:space="preserve"> You are expected to follow the university’s rules pertaining to </w:t>
      </w:r>
      <w:r>
        <w:rPr>
          <w:sz w:val="22"/>
          <w:szCs w:val="22"/>
        </w:rPr>
        <w:t xml:space="preserve">academic honesty and integrity, which </w:t>
      </w:r>
      <w:r w:rsidRPr="00C852CE">
        <w:rPr>
          <w:sz w:val="22"/>
          <w:szCs w:val="22"/>
        </w:rPr>
        <w:t xml:space="preserve">are outlined by </w:t>
      </w:r>
      <w:r>
        <w:rPr>
          <w:sz w:val="22"/>
          <w:szCs w:val="22"/>
        </w:rPr>
        <w:t xml:space="preserve">the </w:t>
      </w:r>
      <w:r w:rsidRPr="001E1F46">
        <w:rPr>
          <w:sz w:val="22"/>
          <w:szCs w:val="22"/>
        </w:rPr>
        <w:t>Office of Student Conduct and Community Standards</w:t>
      </w:r>
      <w:r>
        <w:rPr>
          <w:sz w:val="22"/>
          <w:szCs w:val="22"/>
        </w:rPr>
        <w:t xml:space="preserve">. </w:t>
      </w:r>
      <w:r w:rsidRPr="00C852CE">
        <w:rPr>
          <w:sz w:val="22"/>
          <w:szCs w:val="22"/>
        </w:rPr>
        <w:t xml:space="preserve">For a description of misconduct as well as disciplinary penalties and procedures, please see </w:t>
      </w:r>
      <w:hyperlink r:id="rId12" w:history="1">
        <w:r w:rsidRPr="001E1F46">
          <w:rPr>
            <w:rStyle w:val="Hyperlink"/>
            <w:sz w:val="22"/>
            <w:szCs w:val="22"/>
          </w:rPr>
          <w:t>here</w:t>
        </w:r>
      </w:hyperlink>
      <w:r>
        <w:rPr>
          <w:sz w:val="22"/>
          <w:szCs w:val="22"/>
        </w:rPr>
        <w:t xml:space="preserve">. </w:t>
      </w:r>
      <w:r w:rsidRPr="00C852CE">
        <w:rPr>
          <w:sz w:val="22"/>
          <w:szCs w:val="22"/>
        </w:rPr>
        <w:t>If you have questions about the university’s rules pertaining to academic honesty and integrity, please ask the instructor. You are expected to be familiar with these rules before you submit any written work. Lack of familiarity with these rules does not constitute an excuse for acts of misconduct.</w:t>
      </w:r>
    </w:p>
    <w:p w14:paraId="40A6137C" w14:textId="77777777" w:rsidR="00EE56DA" w:rsidRDefault="00EE56DA" w:rsidP="00197134">
      <w:pPr>
        <w:ind w:right="14"/>
        <w:rPr>
          <w:sz w:val="22"/>
          <w:szCs w:val="22"/>
        </w:rPr>
      </w:pPr>
    </w:p>
    <w:p w14:paraId="7B244109" w14:textId="77777777" w:rsidR="00EE56DA" w:rsidRPr="008D4B2B" w:rsidRDefault="00EE56DA" w:rsidP="00EE56DA">
      <w:pPr>
        <w:pStyle w:val="Footer"/>
        <w:tabs>
          <w:tab w:val="left" w:pos="720"/>
        </w:tabs>
        <w:spacing w:after="120"/>
        <w:rPr>
          <w:rFonts w:asciiTheme="majorBidi" w:eastAsia="Mongolian Baiti" w:hAnsiTheme="majorBidi" w:cstheme="majorBidi"/>
          <w:b/>
          <w:color w:val="000000"/>
          <w:sz w:val="22"/>
          <w:szCs w:val="22"/>
          <w:u w:val="single"/>
        </w:rPr>
      </w:pPr>
      <w:r w:rsidRPr="008D4B2B">
        <w:rPr>
          <w:rFonts w:asciiTheme="majorBidi" w:eastAsia="Mongolian Baiti" w:hAnsiTheme="majorBidi" w:cstheme="majorBidi"/>
          <w:b/>
          <w:color w:val="000000"/>
          <w:sz w:val="22"/>
          <w:szCs w:val="22"/>
          <w:u w:val="single"/>
        </w:rPr>
        <w:t>Reading Assignments</w:t>
      </w:r>
    </w:p>
    <w:p w14:paraId="38DFF5F3" w14:textId="77777777" w:rsidR="00EE56DA" w:rsidRPr="000A3ADF" w:rsidRDefault="00EE56DA" w:rsidP="00EE56DA">
      <w:pPr>
        <w:pStyle w:val="Footer"/>
        <w:spacing w:after="120"/>
        <w:rPr>
          <w:rFonts w:asciiTheme="majorBidi" w:eastAsia="Mongolian Baiti" w:hAnsiTheme="majorBidi" w:cstheme="majorBidi"/>
          <w:bCs/>
          <w:color w:val="000000"/>
          <w:sz w:val="22"/>
          <w:szCs w:val="22"/>
        </w:rPr>
      </w:pPr>
      <w:r w:rsidRPr="000A3ADF">
        <w:rPr>
          <w:rFonts w:asciiTheme="majorBidi" w:eastAsia="Mongolian Baiti" w:hAnsiTheme="majorBidi" w:cstheme="majorBidi"/>
          <w:bCs/>
          <w:color w:val="000000"/>
          <w:sz w:val="22"/>
          <w:szCs w:val="22"/>
        </w:rPr>
        <w:t>Please purchase (</w:t>
      </w:r>
      <w:r>
        <w:rPr>
          <w:rFonts w:asciiTheme="majorBidi" w:eastAsia="Mongolian Baiti" w:hAnsiTheme="majorBidi" w:cstheme="majorBidi"/>
          <w:bCs/>
          <w:color w:val="000000"/>
          <w:sz w:val="22"/>
          <w:szCs w:val="22"/>
        </w:rPr>
        <w:t>new or</w:t>
      </w:r>
      <w:r w:rsidRPr="000A3ADF">
        <w:rPr>
          <w:rFonts w:asciiTheme="majorBidi" w:eastAsia="Mongolian Baiti" w:hAnsiTheme="majorBidi" w:cstheme="majorBidi"/>
          <w:bCs/>
          <w:color w:val="000000"/>
          <w:sz w:val="22"/>
          <w:szCs w:val="22"/>
        </w:rPr>
        <w:t xml:space="preserve"> used):</w:t>
      </w:r>
    </w:p>
    <w:p w14:paraId="02EB328A" w14:textId="77777777" w:rsidR="00EE56DA" w:rsidRDefault="00EE56DA" w:rsidP="00EE56DA">
      <w:pPr>
        <w:pStyle w:val="Footer"/>
        <w:numPr>
          <w:ilvl w:val="0"/>
          <w:numId w:val="27"/>
        </w:numPr>
        <w:rPr>
          <w:rFonts w:asciiTheme="majorBidi" w:eastAsia="Mongolian Baiti" w:hAnsiTheme="majorBidi" w:cstheme="majorBidi"/>
          <w:bCs/>
          <w:color w:val="000000"/>
          <w:sz w:val="22"/>
          <w:szCs w:val="22"/>
        </w:rPr>
      </w:pPr>
      <w:r w:rsidRPr="00284FF0">
        <w:rPr>
          <w:rFonts w:asciiTheme="majorBidi" w:eastAsia="Mongolian Baiti" w:hAnsiTheme="majorBidi" w:cstheme="majorBidi"/>
          <w:bCs/>
          <w:color w:val="000000"/>
          <w:sz w:val="22"/>
          <w:szCs w:val="22"/>
        </w:rPr>
        <w:t xml:space="preserve">David Nirenberg, </w:t>
      </w:r>
      <w:r w:rsidRPr="00E451A5">
        <w:rPr>
          <w:rFonts w:asciiTheme="majorBidi" w:eastAsia="Mongolian Baiti" w:hAnsiTheme="majorBidi" w:cstheme="majorBidi"/>
          <w:bCs/>
          <w:i/>
          <w:iCs/>
          <w:color w:val="000000"/>
          <w:sz w:val="22"/>
          <w:szCs w:val="22"/>
        </w:rPr>
        <w:t>Anti-Judaism: The Western Tradition</w:t>
      </w:r>
      <w:r w:rsidRPr="00284FF0">
        <w:rPr>
          <w:rFonts w:asciiTheme="majorBidi" w:eastAsia="Mongolian Baiti" w:hAnsiTheme="majorBidi" w:cstheme="majorBidi"/>
          <w:bCs/>
          <w:color w:val="000000"/>
          <w:sz w:val="22"/>
          <w:szCs w:val="22"/>
        </w:rPr>
        <w:t xml:space="preserve"> (Norton, 2013).</w:t>
      </w:r>
    </w:p>
    <w:p w14:paraId="13FE81A5" w14:textId="77777777" w:rsidR="00EE56DA" w:rsidRDefault="00EE56DA" w:rsidP="00EE56DA">
      <w:pPr>
        <w:pStyle w:val="Footer"/>
        <w:numPr>
          <w:ilvl w:val="0"/>
          <w:numId w:val="27"/>
        </w:numPr>
        <w:rPr>
          <w:rFonts w:asciiTheme="majorBidi" w:eastAsia="Mongolian Baiti" w:hAnsiTheme="majorBidi" w:cstheme="majorBidi"/>
          <w:bCs/>
          <w:color w:val="000000"/>
          <w:sz w:val="22"/>
          <w:szCs w:val="22"/>
        </w:rPr>
      </w:pPr>
      <w:r w:rsidRPr="00284FF0">
        <w:rPr>
          <w:rFonts w:asciiTheme="majorBidi" w:eastAsia="Mongolian Baiti" w:hAnsiTheme="majorBidi" w:cstheme="majorBidi"/>
          <w:bCs/>
          <w:color w:val="000000"/>
          <w:sz w:val="22"/>
          <w:szCs w:val="22"/>
        </w:rPr>
        <w:t>Jacob</w:t>
      </w:r>
      <w:r>
        <w:rPr>
          <w:rFonts w:asciiTheme="majorBidi" w:eastAsia="Mongolian Baiti" w:hAnsiTheme="majorBidi" w:cstheme="majorBidi"/>
          <w:bCs/>
          <w:color w:val="000000"/>
          <w:sz w:val="22"/>
          <w:szCs w:val="22"/>
        </w:rPr>
        <w:t xml:space="preserve"> </w:t>
      </w:r>
      <w:r w:rsidRPr="00284FF0">
        <w:rPr>
          <w:rFonts w:asciiTheme="majorBidi" w:eastAsia="Mongolian Baiti" w:hAnsiTheme="majorBidi" w:cstheme="majorBidi"/>
          <w:bCs/>
          <w:color w:val="000000"/>
          <w:sz w:val="22"/>
          <w:szCs w:val="22"/>
        </w:rPr>
        <w:t>Katz,</w:t>
      </w:r>
      <w:r>
        <w:rPr>
          <w:rFonts w:asciiTheme="majorBidi" w:eastAsia="Mongolian Baiti" w:hAnsiTheme="majorBidi" w:cstheme="majorBidi"/>
          <w:bCs/>
          <w:color w:val="000000"/>
          <w:sz w:val="22"/>
          <w:szCs w:val="22"/>
        </w:rPr>
        <w:t xml:space="preserve"> </w:t>
      </w:r>
      <w:r w:rsidRPr="00E451A5">
        <w:rPr>
          <w:rFonts w:asciiTheme="majorBidi" w:eastAsia="Mongolian Baiti" w:hAnsiTheme="majorBidi" w:cstheme="majorBidi"/>
          <w:bCs/>
          <w:i/>
          <w:iCs/>
          <w:color w:val="000000"/>
          <w:sz w:val="22"/>
          <w:szCs w:val="22"/>
        </w:rPr>
        <w:t>From Prejudice to Destruction: Anti-Semitism, 1700–1933</w:t>
      </w:r>
      <w:r w:rsidRPr="00284FF0">
        <w:rPr>
          <w:rFonts w:asciiTheme="majorBidi" w:eastAsia="Mongolian Baiti" w:hAnsiTheme="majorBidi" w:cstheme="majorBidi"/>
          <w:bCs/>
          <w:color w:val="000000"/>
          <w:sz w:val="22"/>
          <w:szCs w:val="22"/>
        </w:rPr>
        <w:t xml:space="preserve"> (Harvard, 1980).</w:t>
      </w:r>
    </w:p>
    <w:p w14:paraId="25C0628C" w14:textId="77777777" w:rsidR="00EE56DA" w:rsidRPr="0008608B" w:rsidRDefault="00EE56DA" w:rsidP="00EE56DA">
      <w:pPr>
        <w:pStyle w:val="Footer"/>
        <w:numPr>
          <w:ilvl w:val="0"/>
          <w:numId w:val="27"/>
        </w:numPr>
        <w:rPr>
          <w:rFonts w:asciiTheme="majorBidi" w:eastAsia="Mongolian Baiti" w:hAnsiTheme="majorBidi" w:cstheme="majorBidi"/>
          <w:bCs/>
          <w:color w:val="000000"/>
          <w:sz w:val="22"/>
          <w:szCs w:val="22"/>
        </w:rPr>
      </w:pPr>
      <w:r>
        <w:rPr>
          <w:rFonts w:asciiTheme="majorBidi" w:eastAsia="Mongolian Baiti" w:hAnsiTheme="majorBidi" w:cstheme="majorBidi"/>
          <w:bCs/>
          <w:color w:val="000000"/>
          <w:sz w:val="22"/>
          <w:szCs w:val="22"/>
        </w:rPr>
        <w:t xml:space="preserve">David Hirsh, </w:t>
      </w:r>
      <w:r w:rsidRPr="00721C65">
        <w:rPr>
          <w:rFonts w:asciiTheme="majorBidi" w:eastAsia="Mongolian Baiti" w:hAnsiTheme="majorBidi" w:cstheme="majorBidi"/>
          <w:bCs/>
          <w:i/>
          <w:iCs/>
          <w:color w:val="000000"/>
          <w:sz w:val="22"/>
          <w:szCs w:val="22"/>
        </w:rPr>
        <w:t>Contemporary Left Antisemitism</w:t>
      </w:r>
      <w:r>
        <w:rPr>
          <w:rFonts w:asciiTheme="majorBidi" w:eastAsia="Mongolian Baiti" w:hAnsiTheme="majorBidi" w:cstheme="majorBidi"/>
          <w:bCs/>
          <w:color w:val="000000"/>
          <w:sz w:val="22"/>
          <w:szCs w:val="22"/>
        </w:rPr>
        <w:t xml:space="preserve"> (Routledge, 2017).</w:t>
      </w:r>
    </w:p>
    <w:p w14:paraId="609169E7" w14:textId="05E46BAB" w:rsidR="00EE56DA" w:rsidRDefault="00EE56DA" w:rsidP="00AA05C9">
      <w:pPr>
        <w:pStyle w:val="Footer"/>
        <w:spacing w:before="120"/>
        <w:rPr>
          <w:rFonts w:asciiTheme="majorBidi" w:eastAsia="Mongolian Baiti" w:hAnsiTheme="majorBidi" w:cstheme="majorBidi"/>
          <w:bCs/>
          <w:color w:val="000000"/>
          <w:sz w:val="22"/>
          <w:szCs w:val="22"/>
        </w:rPr>
      </w:pPr>
      <w:r>
        <w:rPr>
          <w:rFonts w:asciiTheme="majorBidi" w:eastAsia="Mongolian Baiti" w:hAnsiTheme="majorBidi" w:cstheme="majorBidi"/>
          <w:bCs/>
          <w:color w:val="000000"/>
          <w:sz w:val="22"/>
          <w:szCs w:val="22"/>
        </w:rPr>
        <w:t xml:space="preserve">All titles </w:t>
      </w:r>
      <w:r w:rsidR="00AA05C9">
        <w:rPr>
          <w:rFonts w:asciiTheme="majorBidi" w:eastAsia="Mongolian Baiti" w:hAnsiTheme="majorBidi" w:cstheme="majorBidi"/>
          <w:bCs/>
          <w:color w:val="000000"/>
          <w:sz w:val="22"/>
          <w:szCs w:val="22"/>
        </w:rPr>
        <w:t xml:space="preserve">below </w:t>
      </w:r>
      <w:r>
        <w:rPr>
          <w:rFonts w:asciiTheme="majorBidi" w:eastAsia="Mongolian Baiti" w:hAnsiTheme="majorBidi" w:cstheme="majorBidi"/>
          <w:bCs/>
          <w:color w:val="000000"/>
          <w:sz w:val="22"/>
          <w:szCs w:val="22"/>
        </w:rPr>
        <w:t xml:space="preserve">with hyperlinks are available online from UW–Madison libraries. </w:t>
      </w:r>
      <w:r w:rsidRPr="00284FF0">
        <w:rPr>
          <w:rFonts w:asciiTheme="majorBidi" w:eastAsia="Mongolian Baiti" w:hAnsiTheme="majorBidi" w:cstheme="majorBidi"/>
          <w:bCs/>
          <w:color w:val="000000"/>
          <w:sz w:val="22"/>
          <w:szCs w:val="22"/>
        </w:rPr>
        <w:t xml:space="preserve">All other readings will be available </w:t>
      </w:r>
      <w:r>
        <w:rPr>
          <w:rFonts w:asciiTheme="majorBidi" w:eastAsia="Mongolian Baiti" w:hAnsiTheme="majorBidi" w:cstheme="majorBidi"/>
          <w:bCs/>
          <w:color w:val="000000"/>
          <w:sz w:val="22"/>
          <w:szCs w:val="22"/>
        </w:rPr>
        <w:t xml:space="preserve">via Canvas. </w:t>
      </w:r>
      <w:r w:rsidRPr="00284FF0">
        <w:rPr>
          <w:rFonts w:asciiTheme="majorBidi" w:eastAsia="Mongolian Baiti" w:hAnsiTheme="majorBidi" w:cstheme="majorBidi"/>
          <w:bCs/>
          <w:color w:val="000000"/>
          <w:sz w:val="22"/>
          <w:szCs w:val="22"/>
        </w:rPr>
        <w:t xml:space="preserve">All </w:t>
      </w:r>
      <w:r>
        <w:rPr>
          <w:rFonts w:asciiTheme="majorBidi" w:eastAsia="Mongolian Baiti" w:hAnsiTheme="majorBidi" w:cstheme="majorBidi"/>
          <w:bCs/>
          <w:color w:val="000000"/>
          <w:sz w:val="22"/>
          <w:szCs w:val="22"/>
        </w:rPr>
        <w:t xml:space="preserve">required </w:t>
      </w:r>
      <w:r w:rsidRPr="00284FF0">
        <w:rPr>
          <w:rFonts w:asciiTheme="majorBidi" w:eastAsia="Mongolian Baiti" w:hAnsiTheme="majorBidi" w:cstheme="majorBidi"/>
          <w:bCs/>
          <w:color w:val="000000"/>
          <w:sz w:val="22"/>
          <w:szCs w:val="22"/>
        </w:rPr>
        <w:t xml:space="preserve">titles will be on </w:t>
      </w:r>
      <w:r>
        <w:rPr>
          <w:rFonts w:asciiTheme="majorBidi" w:eastAsia="Mongolian Baiti" w:hAnsiTheme="majorBidi" w:cstheme="majorBidi"/>
          <w:bCs/>
          <w:color w:val="000000"/>
          <w:sz w:val="22"/>
          <w:szCs w:val="22"/>
        </w:rPr>
        <w:t>reserve at College Library.</w:t>
      </w:r>
    </w:p>
    <w:p w14:paraId="4598A2FA" w14:textId="62CEB778" w:rsidR="00EE56DA" w:rsidRPr="00C852CE" w:rsidRDefault="00EE56DA" w:rsidP="0057193F">
      <w:pPr>
        <w:spacing w:before="120"/>
        <w:ind w:right="576"/>
        <w:rPr>
          <w:sz w:val="22"/>
          <w:szCs w:val="22"/>
        </w:rPr>
      </w:pPr>
      <w:r>
        <w:rPr>
          <w:sz w:val="22"/>
          <w:szCs w:val="22"/>
        </w:rPr>
        <w:t xml:space="preserve">Antisemitism </w:t>
      </w:r>
      <w:r w:rsidR="0057193F">
        <w:rPr>
          <w:sz w:val="22"/>
          <w:szCs w:val="22"/>
        </w:rPr>
        <w:t>can only</w:t>
      </w:r>
      <w:r>
        <w:rPr>
          <w:sz w:val="22"/>
          <w:szCs w:val="22"/>
        </w:rPr>
        <w:t xml:space="preserve"> be</w:t>
      </w:r>
      <w:r w:rsidRPr="00C852CE">
        <w:rPr>
          <w:sz w:val="22"/>
          <w:szCs w:val="22"/>
        </w:rPr>
        <w:t xml:space="preserve"> understood in relation to </w:t>
      </w:r>
      <w:r>
        <w:rPr>
          <w:sz w:val="22"/>
          <w:szCs w:val="22"/>
        </w:rPr>
        <w:t>its changing</w:t>
      </w:r>
      <w:r w:rsidRPr="00C852CE">
        <w:rPr>
          <w:sz w:val="22"/>
          <w:szCs w:val="22"/>
        </w:rPr>
        <w:t xml:space="preserve"> historical context. If you </w:t>
      </w:r>
      <w:r>
        <w:rPr>
          <w:sz w:val="22"/>
          <w:szCs w:val="22"/>
        </w:rPr>
        <w:t>want to brush up on</w:t>
      </w:r>
      <w:r w:rsidRPr="00C852CE">
        <w:rPr>
          <w:sz w:val="22"/>
          <w:szCs w:val="22"/>
        </w:rPr>
        <w:t xml:space="preserve"> modern Jewish history, I recommend Lloyd P.</w:t>
      </w:r>
      <w:r>
        <w:rPr>
          <w:sz w:val="22"/>
          <w:szCs w:val="22"/>
        </w:rPr>
        <w:t xml:space="preserve"> </w:t>
      </w:r>
      <w:r w:rsidRPr="00C852CE">
        <w:rPr>
          <w:sz w:val="22"/>
          <w:szCs w:val="22"/>
        </w:rPr>
        <w:t xml:space="preserve">Gartner, </w:t>
      </w:r>
      <w:hyperlink r:id="rId13" w:history="1">
        <w:r w:rsidRPr="001E1F46">
          <w:rPr>
            <w:rStyle w:val="Hyperlink"/>
            <w:i/>
            <w:sz w:val="22"/>
            <w:szCs w:val="22"/>
          </w:rPr>
          <w:t>History of the Jews in Modern Times</w:t>
        </w:r>
      </w:hyperlink>
      <w:r w:rsidRPr="00C852CE">
        <w:rPr>
          <w:sz w:val="22"/>
          <w:szCs w:val="22"/>
        </w:rPr>
        <w:t xml:space="preserve"> (New York: Oxford University Press, 2001), especially chapters 8 and 9</w:t>
      </w:r>
      <w:r>
        <w:rPr>
          <w:sz w:val="22"/>
          <w:szCs w:val="22"/>
        </w:rPr>
        <w:t>.</w:t>
      </w:r>
    </w:p>
    <w:p w14:paraId="3C42F903" w14:textId="25F5301F" w:rsidR="00EE56DA" w:rsidRPr="00EE56DA" w:rsidRDefault="00EE56DA" w:rsidP="00EE56DA">
      <w:pPr>
        <w:rPr>
          <w:b/>
          <w:bCs/>
          <w:sz w:val="22"/>
          <w:szCs w:val="22"/>
          <w:u w:val="single"/>
        </w:rPr>
      </w:pPr>
    </w:p>
    <w:p w14:paraId="3703EEE2" w14:textId="53B0A9BA" w:rsidR="000C305E" w:rsidRPr="00C852CE" w:rsidRDefault="000C305E" w:rsidP="00EE56DA">
      <w:pPr>
        <w:spacing w:line="0" w:lineRule="atLeast"/>
        <w:outlineLvl w:val="0"/>
        <w:rPr>
          <w:b/>
          <w:sz w:val="22"/>
          <w:szCs w:val="22"/>
        </w:rPr>
      </w:pPr>
      <w:r>
        <w:rPr>
          <w:b/>
          <w:sz w:val="22"/>
          <w:szCs w:val="22"/>
        </w:rPr>
        <w:t>Sep</w:t>
      </w:r>
      <w:r w:rsidRPr="00C852CE">
        <w:rPr>
          <w:b/>
          <w:sz w:val="22"/>
          <w:szCs w:val="22"/>
        </w:rPr>
        <w:t xml:space="preserve">. </w:t>
      </w:r>
      <w:r>
        <w:rPr>
          <w:b/>
          <w:sz w:val="22"/>
          <w:szCs w:val="22"/>
        </w:rPr>
        <w:t>7</w:t>
      </w:r>
      <w:r w:rsidR="00EE56DA">
        <w:rPr>
          <w:b/>
          <w:sz w:val="22"/>
          <w:szCs w:val="22"/>
        </w:rPr>
        <w:t xml:space="preserve"> – Introduction</w:t>
      </w:r>
    </w:p>
    <w:p w14:paraId="2CF02F24" w14:textId="242B78A0" w:rsidR="000C305E" w:rsidRDefault="006B08D5" w:rsidP="006B08D5">
      <w:pPr>
        <w:spacing w:line="269" w:lineRule="exact"/>
        <w:rPr>
          <w:sz w:val="22"/>
          <w:szCs w:val="22"/>
        </w:rPr>
      </w:pPr>
      <w:r>
        <w:rPr>
          <w:sz w:val="22"/>
          <w:szCs w:val="22"/>
        </w:rPr>
        <w:t>General introduction. O</w:t>
      </w:r>
      <w:r w:rsidR="000C305E">
        <w:rPr>
          <w:sz w:val="22"/>
          <w:szCs w:val="22"/>
        </w:rPr>
        <w:t>verview of historiographical debates and theories of a</w:t>
      </w:r>
      <w:r w:rsidR="000C305E" w:rsidRPr="000C305E">
        <w:rPr>
          <w:sz w:val="22"/>
          <w:szCs w:val="22"/>
        </w:rPr>
        <w:t>ntisemitism</w:t>
      </w:r>
      <w:r w:rsidR="000C305E">
        <w:rPr>
          <w:sz w:val="22"/>
          <w:szCs w:val="22"/>
        </w:rPr>
        <w:t>.</w:t>
      </w:r>
    </w:p>
    <w:p w14:paraId="52412180" w14:textId="77777777" w:rsidR="000C305E" w:rsidRPr="00314551" w:rsidRDefault="000C305E" w:rsidP="000C305E">
      <w:pPr>
        <w:spacing w:line="269" w:lineRule="exact"/>
        <w:rPr>
          <w:sz w:val="20"/>
        </w:rPr>
      </w:pPr>
    </w:p>
    <w:p w14:paraId="3F26FE5B" w14:textId="77777777" w:rsidR="000C305E" w:rsidRPr="00314551" w:rsidRDefault="000C305E" w:rsidP="000C305E">
      <w:pPr>
        <w:rPr>
          <w:sz w:val="20"/>
        </w:rPr>
      </w:pPr>
      <w:r w:rsidRPr="00314551">
        <w:rPr>
          <w:sz w:val="20"/>
          <w:u w:val="single"/>
        </w:rPr>
        <w:t>Recommended</w:t>
      </w:r>
      <w:r w:rsidRPr="00314551">
        <w:rPr>
          <w:sz w:val="20"/>
        </w:rPr>
        <w:t>:</w:t>
      </w:r>
    </w:p>
    <w:p w14:paraId="55F8B689" w14:textId="77777777" w:rsidR="000C305E" w:rsidRPr="00314551" w:rsidRDefault="000C305E" w:rsidP="000C305E">
      <w:pPr>
        <w:ind w:left="720" w:hanging="720"/>
        <w:rPr>
          <w:sz w:val="20"/>
        </w:rPr>
      </w:pPr>
      <w:r w:rsidRPr="00314551">
        <w:rPr>
          <w:sz w:val="20"/>
        </w:rPr>
        <w:t xml:space="preserve">Werner Bergmann, “Psychological and Sociological Theories of Antisemitism,” </w:t>
      </w:r>
      <w:r w:rsidRPr="00314551">
        <w:rPr>
          <w:i/>
          <w:iCs/>
          <w:sz w:val="20"/>
        </w:rPr>
        <w:t>Patterns of Prejudice</w:t>
      </w:r>
      <w:r w:rsidRPr="00314551">
        <w:rPr>
          <w:sz w:val="20"/>
        </w:rPr>
        <w:t xml:space="preserve"> 26, nos. 1 &amp; 2 (1992): 37–47.</w:t>
      </w:r>
    </w:p>
    <w:p w14:paraId="14C4FDF6" w14:textId="69EC790B" w:rsidR="00137FFB" w:rsidRPr="00314551" w:rsidRDefault="00137FFB" w:rsidP="000C305E">
      <w:pPr>
        <w:ind w:left="720" w:hanging="720"/>
        <w:rPr>
          <w:sz w:val="20"/>
        </w:rPr>
      </w:pPr>
      <w:r w:rsidRPr="00314551">
        <w:rPr>
          <w:sz w:val="20"/>
        </w:rPr>
        <w:t xml:space="preserve">Kenneth L. Marcus, “The Definition of Antisemitism,” in </w:t>
      </w:r>
      <w:hyperlink r:id="rId14" w:history="1">
        <w:r w:rsidRPr="00314551">
          <w:rPr>
            <w:rStyle w:val="Hyperlink"/>
            <w:i/>
            <w:iCs/>
            <w:sz w:val="20"/>
          </w:rPr>
          <w:t>Global Antisemitism: A Crisis of Modernity</w:t>
        </w:r>
        <w:r w:rsidRPr="00314551">
          <w:rPr>
            <w:rStyle w:val="Hyperlink"/>
            <w:sz w:val="20"/>
          </w:rPr>
          <w:t>, vol. 1</w:t>
        </w:r>
      </w:hyperlink>
      <w:r w:rsidRPr="00314551">
        <w:rPr>
          <w:sz w:val="20"/>
        </w:rPr>
        <w:t>, ed. Charles Asher Small (New York: ISGAP, 2013), 99–111.</w:t>
      </w:r>
    </w:p>
    <w:p w14:paraId="7BC7F11E" w14:textId="57886BBE" w:rsidR="000C305E" w:rsidRPr="00314551" w:rsidRDefault="000C305E" w:rsidP="0067184A">
      <w:pPr>
        <w:ind w:left="720" w:hanging="720"/>
        <w:rPr>
          <w:sz w:val="20"/>
        </w:rPr>
      </w:pPr>
      <w:r w:rsidRPr="00314551">
        <w:rPr>
          <w:sz w:val="20"/>
        </w:rPr>
        <w:t>Jonathan Judaken, “</w:t>
      </w:r>
      <w:r w:rsidR="005C631D" w:rsidRPr="00314551">
        <w:rPr>
          <w:sz w:val="20"/>
        </w:rPr>
        <w:t xml:space="preserve">Rethinking Anti-Semitism: </w:t>
      </w:r>
      <w:r w:rsidR="005C631D" w:rsidRPr="00314551">
        <w:rPr>
          <w:i/>
          <w:iCs/>
          <w:sz w:val="20"/>
        </w:rPr>
        <w:t>AHR</w:t>
      </w:r>
      <w:r w:rsidR="005C631D" w:rsidRPr="00314551">
        <w:rPr>
          <w:sz w:val="20"/>
        </w:rPr>
        <w:t xml:space="preserve"> Roundtable Introduction,”</w:t>
      </w:r>
      <w:r w:rsidRPr="00314551">
        <w:rPr>
          <w:sz w:val="20"/>
        </w:rPr>
        <w:t xml:space="preserve"> </w:t>
      </w:r>
      <w:r w:rsidRPr="00314551">
        <w:rPr>
          <w:i/>
          <w:iCs/>
          <w:sz w:val="20"/>
        </w:rPr>
        <w:t>American Historical Review</w:t>
      </w:r>
      <w:r w:rsidRPr="00314551">
        <w:rPr>
          <w:sz w:val="20"/>
        </w:rPr>
        <w:t xml:space="preserve"> 123, no. 4 (</w:t>
      </w:r>
      <w:r w:rsidR="0067184A" w:rsidRPr="00314551">
        <w:rPr>
          <w:sz w:val="20"/>
        </w:rPr>
        <w:t xml:space="preserve">Oct. </w:t>
      </w:r>
      <w:r w:rsidRPr="00314551">
        <w:rPr>
          <w:sz w:val="20"/>
        </w:rPr>
        <w:t xml:space="preserve">2018): </w:t>
      </w:r>
      <w:r w:rsidR="0067184A" w:rsidRPr="00314551">
        <w:rPr>
          <w:sz w:val="20"/>
        </w:rPr>
        <w:t>1122–1138.</w:t>
      </w:r>
    </w:p>
    <w:p w14:paraId="417F7891" w14:textId="2EC3A923" w:rsidR="000C305E" w:rsidRPr="00314551" w:rsidRDefault="000C305E" w:rsidP="000C305E">
      <w:pPr>
        <w:ind w:left="720" w:hanging="720"/>
        <w:rPr>
          <w:sz w:val="20"/>
        </w:rPr>
      </w:pPr>
      <w:r w:rsidRPr="00314551">
        <w:rPr>
          <w:sz w:val="20"/>
        </w:rPr>
        <w:t xml:space="preserve">Jonathan Judaken, “Anti-Semitism (Historiography),” in </w:t>
      </w:r>
      <w:hyperlink r:id="rId15" w:history="1">
        <w:r w:rsidRPr="00314551">
          <w:rPr>
            <w:rStyle w:val="Hyperlink"/>
            <w:i/>
            <w:iCs/>
            <w:sz w:val="20"/>
          </w:rPr>
          <w:t>Key Concepts in the Study of Antisemitism</w:t>
        </w:r>
      </w:hyperlink>
      <w:r w:rsidRPr="00314551">
        <w:rPr>
          <w:sz w:val="20"/>
        </w:rPr>
        <w:t>, eds. Sol Goldberg, Scott Ury, and Kalman Weiser (Cham, Switzerland: Palgrave Macmillan, 2021), 25–38.</w:t>
      </w:r>
    </w:p>
    <w:p w14:paraId="392A6C8D" w14:textId="77777777" w:rsidR="000C305E" w:rsidRDefault="000C305E" w:rsidP="000C305E">
      <w:pPr>
        <w:spacing w:line="269" w:lineRule="exact"/>
        <w:rPr>
          <w:sz w:val="22"/>
          <w:szCs w:val="22"/>
        </w:rPr>
      </w:pPr>
    </w:p>
    <w:p w14:paraId="65413B3F" w14:textId="128AC019" w:rsidR="009B502D" w:rsidRPr="002F0CE2" w:rsidRDefault="009B502D" w:rsidP="009B502D">
      <w:pPr>
        <w:rPr>
          <w:b/>
          <w:bCs/>
          <w:szCs w:val="24"/>
          <w:u w:val="single"/>
        </w:rPr>
      </w:pPr>
      <w:r w:rsidRPr="002F0CE2">
        <w:rPr>
          <w:b/>
          <w:bCs/>
          <w:szCs w:val="24"/>
          <w:u w:val="single"/>
        </w:rPr>
        <w:t>I. THE LONG SHADOW OF ANTI-JUDAISM</w:t>
      </w:r>
    </w:p>
    <w:p w14:paraId="67189DBF" w14:textId="77777777" w:rsidR="009B502D" w:rsidRPr="002F0CE2" w:rsidRDefault="009B502D" w:rsidP="000C305E">
      <w:pPr>
        <w:spacing w:line="269" w:lineRule="exact"/>
        <w:rPr>
          <w:sz w:val="22"/>
          <w:szCs w:val="22"/>
        </w:rPr>
      </w:pPr>
    </w:p>
    <w:p w14:paraId="55A3ED00" w14:textId="4102093C" w:rsidR="00ED38CC" w:rsidRPr="002F0CE2" w:rsidRDefault="000C305E" w:rsidP="000C305E">
      <w:pPr>
        <w:spacing w:line="0" w:lineRule="atLeast"/>
        <w:outlineLvl w:val="0"/>
        <w:rPr>
          <w:sz w:val="22"/>
          <w:szCs w:val="22"/>
        </w:rPr>
      </w:pPr>
      <w:r w:rsidRPr="002F0CE2">
        <w:rPr>
          <w:b/>
          <w:sz w:val="22"/>
          <w:szCs w:val="22"/>
        </w:rPr>
        <w:t xml:space="preserve">Sep. 12 – </w:t>
      </w:r>
      <w:r w:rsidR="00646339" w:rsidRPr="002F0CE2">
        <w:rPr>
          <w:b/>
          <w:bCs/>
          <w:sz w:val="22"/>
          <w:szCs w:val="22"/>
        </w:rPr>
        <w:t>Anti-Judaism</w:t>
      </w:r>
      <w:r w:rsidRPr="002F0CE2">
        <w:rPr>
          <w:b/>
          <w:bCs/>
          <w:sz w:val="22"/>
          <w:szCs w:val="22"/>
        </w:rPr>
        <w:t xml:space="preserve"> and its o</w:t>
      </w:r>
      <w:r w:rsidR="00FB5D15" w:rsidRPr="002F0CE2">
        <w:rPr>
          <w:b/>
          <w:bCs/>
          <w:sz w:val="22"/>
          <w:szCs w:val="22"/>
        </w:rPr>
        <w:t>rigins</w:t>
      </w:r>
    </w:p>
    <w:p w14:paraId="6C6B8E1B" w14:textId="76A99582" w:rsidR="00F835BD" w:rsidRDefault="00F835BD" w:rsidP="00C80540">
      <w:pPr>
        <w:rPr>
          <w:b/>
          <w:bCs/>
          <w:sz w:val="22"/>
          <w:szCs w:val="22"/>
        </w:rPr>
      </w:pPr>
      <w:r w:rsidRPr="00F835BD">
        <w:rPr>
          <w:b/>
          <w:bCs/>
          <w:color w:val="FF0000"/>
          <w:sz w:val="22"/>
          <w:szCs w:val="22"/>
        </w:rPr>
        <w:t xml:space="preserve">Response paper #1 </w:t>
      </w:r>
      <w:r w:rsidR="00C80540">
        <w:rPr>
          <w:b/>
          <w:bCs/>
          <w:color w:val="FF0000"/>
          <w:sz w:val="22"/>
          <w:szCs w:val="22"/>
        </w:rPr>
        <w:t>due (300–400 words</w:t>
      </w:r>
      <w:r w:rsidRPr="00F835BD">
        <w:rPr>
          <w:b/>
          <w:bCs/>
          <w:color w:val="FF0000"/>
          <w:sz w:val="22"/>
          <w:szCs w:val="22"/>
        </w:rPr>
        <w:t>)</w:t>
      </w:r>
    </w:p>
    <w:p w14:paraId="2E7D919A" w14:textId="0B3B990A" w:rsidR="002500A2" w:rsidRPr="002F0CE2" w:rsidRDefault="002500A2" w:rsidP="00775C6C">
      <w:pPr>
        <w:ind w:left="720" w:hanging="720"/>
        <w:rPr>
          <w:sz w:val="22"/>
          <w:szCs w:val="22"/>
        </w:rPr>
      </w:pPr>
      <w:r w:rsidRPr="002F0CE2">
        <w:rPr>
          <w:sz w:val="22"/>
          <w:szCs w:val="22"/>
        </w:rPr>
        <w:t xml:space="preserve">Steven Beller, </w:t>
      </w:r>
      <w:hyperlink r:id="rId16" w:history="1">
        <w:r w:rsidRPr="0082376B">
          <w:rPr>
            <w:rStyle w:val="Hyperlink"/>
            <w:i/>
            <w:iCs/>
            <w:sz w:val="22"/>
            <w:szCs w:val="22"/>
          </w:rPr>
          <w:t>Antisemitism: A Very Short Introduction</w:t>
        </w:r>
      </w:hyperlink>
      <w:r w:rsidRPr="002F0CE2">
        <w:rPr>
          <w:sz w:val="22"/>
          <w:szCs w:val="22"/>
        </w:rPr>
        <w:t xml:space="preserve"> (Oxford: Oxford University Press, 2015), 1–8, 11–22.</w:t>
      </w:r>
    </w:p>
    <w:p w14:paraId="0D0374E8" w14:textId="4DC97E00" w:rsidR="00ED38CC" w:rsidRPr="0057193F" w:rsidRDefault="00092CCB" w:rsidP="0057193F">
      <w:pPr>
        <w:ind w:left="720" w:hanging="720"/>
        <w:rPr>
          <w:sz w:val="22"/>
          <w:szCs w:val="22"/>
        </w:rPr>
      </w:pPr>
      <w:r w:rsidRPr="002F0CE2">
        <w:rPr>
          <w:sz w:val="22"/>
          <w:szCs w:val="22"/>
        </w:rPr>
        <w:t xml:space="preserve">David </w:t>
      </w:r>
      <w:r w:rsidR="00ED38CC" w:rsidRPr="002F0CE2">
        <w:rPr>
          <w:sz w:val="22"/>
          <w:szCs w:val="22"/>
        </w:rPr>
        <w:t xml:space="preserve">Nirenberg, </w:t>
      </w:r>
      <w:r w:rsidR="00ED38CC" w:rsidRPr="002F0CE2">
        <w:rPr>
          <w:i/>
          <w:iCs/>
          <w:sz w:val="22"/>
          <w:szCs w:val="22"/>
        </w:rPr>
        <w:t>Anti-</w:t>
      </w:r>
      <w:r w:rsidR="00ED38CC" w:rsidRPr="0057193F">
        <w:rPr>
          <w:i/>
          <w:iCs/>
          <w:sz w:val="22"/>
          <w:szCs w:val="22"/>
        </w:rPr>
        <w:t>Judaism</w:t>
      </w:r>
      <w:r w:rsidR="00965C63" w:rsidRPr="0057193F">
        <w:rPr>
          <w:sz w:val="22"/>
          <w:szCs w:val="22"/>
        </w:rPr>
        <w:t>, 1</w:t>
      </w:r>
      <w:r w:rsidR="00965C63" w:rsidRPr="0057193F">
        <w:rPr>
          <w:sz w:val="22"/>
          <w:szCs w:val="22"/>
        </w:rPr>
        <w:softHyphen/>
        <w:t>–12, 48–86.</w:t>
      </w:r>
      <w:r w:rsidR="0057193F" w:rsidRPr="0057193F">
        <w:rPr>
          <w:sz w:val="22"/>
          <w:szCs w:val="22"/>
        </w:rPr>
        <w:t xml:space="preserve"> </w:t>
      </w:r>
      <w:r w:rsidR="0057193F" w:rsidRPr="0057193F">
        <w:rPr>
          <w:sz w:val="22"/>
          <w:szCs w:val="22"/>
          <w:u w:val="single"/>
        </w:rPr>
        <w:t>Recommended</w:t>
      </w:r>
      <w:r w:rsidR="0057193F" w:rsidRPr="0057193F">
        <w:rPr>
          <w:sz w:val="22"/>
          <w:szCs w:val="22"/>
        </w:rPr>
        <w:t>: 13–47.</w:t>
      </w:r>
    </w:p>
    <w:p w14:paraId="06291CB7" w14:textId="77777777" w:rsidR="000C305E" w:rsidRPr="0057193F" w:rsidRDefault="000C305E" w:rsidP="00973DD9">
      <w:pPr>
        <w:rPr>
          <w:sz w:val="22"/>
          <w:szCs w:val="22"/>
        </w:rPr>
      </w:pPr>
    </w:p>
    <w:p w14:paraId="723F5924" w14:textId="31186B8D" w:rsidR="000C305E" w:rsidRPr="002F0CE2" w:rsidRDefault="000C305E" w:rsidP="009B502D">
      <w:pPr>
        <w:rPr>
          <w:sz w:val="22"/>
          <w:szCs w:val="22"/>
        </w:rPr>
      </w:pPr>
      <w:r w:rsidRPr="002F0CE2">
        <w:rPr>
          <w:b/>
          <w:sz w:val="22"/>
          <w:szCs w:val="22"/>
        </w:rPr>
        <w:t>Sep. 14 –</w:t>
      </w:r>
      <w:r w:rsidR="009B502D" w:rsidRPr="002F0CE2">
        <w:rPr>
          <w:b/>
          <w:sz w:val="22"/>
          <w:szCs w:val="22"/>
        </w:rPr>
        <w:t xml:space="preserve"> Anti-Judaism from the early c</w:t>
      </w:r>
      <w:r w:rsidRPr="002F0CE2">
        <w:rPr>
          <w:b/>
          <w:sz w:val="22"/>
          <w:szCs w:val="22"/>
        </w:rPr>
        <w:t>hurch to the Middle Ages</w:t>
      </w:r>
    </w:p>
    <w:p w14:paraId="1CDD815E" w14:textId="2C4543EE" w:rsidR="00DE56A0" w:rsidRPr="002F0CE2" w:rsidRDefault="00DE56A0" w:rsidP="0057193F">
      <w:pPr>
        <w:rPr>
          <w:sz w:val="22"/>
          <w:szCs w:val="22"/>
        </w:rPr>
      </w:pPr>
      <w:r w:rsidRPr="002F0CE2">
        <w:rPr>
          <w:sz w:val="22"/>
          <w:szCs w:val="22"/>
        </w:rPr>
        <w:t>Nirenberg,</w:t>
      </w:r>
      <w:r w:rsidR="003D05B2">
        <w:rPr>
          <w:sz w:val="22"/>
          <w:szCs w:val="22"/>
        </w:rPr>
        <w:t xml:space="preserve"> </w:t>
      </w:r>
      <w:r w:rsidRPr="002F0CE2">
        <w:rPr>
          <w:i/>
          <w:iCs/>
          <w:sz w:val="22"/>
          <w:szCs w:val="22"/>
        </w:rPr>
        <w:t>Anti-Judaism</w:t>
      </w:r>
      <w:r w:rsidR="00457CC5">
        <w:rPr>
          <w:sz w:val="22"/>
          <w:szCs w:val="22"/>
        </w:rPr>
        <w:t xml:space="preserve">, </w:t>
      </w:r>
      <w:r w:rsidR="006B08D5" w:rsidRPr="002F0CE2">
        <w:rPr>
          <w:sz w:val="22"/>
          <w:szCs w:val="22"/>
        </w:rPr>
        <w:t>87–</w:t>
      </w:r>
      <w:r w:rsidRPr="002F0CE2">
        <w:rPr>
          <w:sz w:val="22"/>
          <w:szCs w:val="22"/>
        </w:rPr>
        <w:t>134</w:t>
      </w:r>
      <w:r w:rsidR="00457CC5">
        <w:rPr>
          <w:sz w:val="22"/>
          <w:szCs w:val="22"/>
        </w:rPr>
        <w:t xml:space="preserve">, </w:t>
      </w:r>
      <w:r w:rsidR="006B08D5" w:rsidRPr="002F0CE2">
        <w:rPr>
          <w:sz w:val="22"/>
          <w:szCs w:val="22"/>
        </w:rPr>
        <w:t>183–</w:t>
      </w:r>
      <w:r w:rsidRPr="002F0CE2">
        <w:rPr>
          <w:sz w:val="22"/>
          <w:szCs w:val="22"/>
        </w:rPr>
        <w:t>216.</w:t>
      </w:r>
    </w:p>
    <w:p w14:paraId="6A55370A" w14:textId="77777777" w:rsidR="00DE56A0" w:rsidRPr="002F0CE2" w:rsidRDefault="00DE56A0" w:rsidP="00DE56A0">
      <w:pPr>
        <w:rPr>
          <w:sz w:val="22"/>
          <w:szCs w:val="22"/>
        </w:rPr>
      </w:pPr>
    </w:p>
    <w:p w14:paraId="6FF7C681" w14:textId="77195B82" w:rsidR="009B502D" w:rsidRPr="002F0CE2" w:rsidRDefault="009B502D" w:rsidP="005D3A2F">
      <w:pPr>
        <w:spacing w:line="0" w:lineRule="atLeast"/>
        <w:outlineLvl w:val="0"/>
        <w:rPr>
          <w:b/>
          <w:sz w:val="22"/>
          <w:szCs w:val="22"/>
        </w:rPr>
      </w:pPr>
      <w:r w:rsidRPr="002F0CE2">
        <w:rPr>
          <w:b/>
          <w:sz w:val="22"/>
          <w:szCs w:val="22"/>
        </w:rPr>
        <w:t xml:space="preserve">Sep. 19 – </w:t>
      </w:r>
      <w:r w:rsidR="005C5A14">
        <w:rPr>
          <w:b/>
          <w:sz w:val="22"/>
          <w:szCs w:val="22"/>
        </w:rPr>
        <w:t>The Middle Ages</w:t>
      </w:r>
    </w:p>
    <w:p w14:paraId="6C0C491F" w14:textId="27CBD448" w:rsidR="009B502D" w:rsidRPr="002F0CE2" w:rsidRDefault="009B502D" w:rsidP="009B502D">
      <w:pPr>
        <w:ind w:left="720" w:hanging="720"/>
        <w:rPr>
          <w:sz w:val="22"/>
          <w:szCs w:val="22"/>
          <w:lang w:bidi="he-IL"/>
        </w:rPr>
      </w:pPr>
      <w:r w:rsidRPr="002F0CE2">
        <w:rPr>
          <w:sz w:val="22"/>
          <w:szCs w:val="22"/>
        </w:rPr>
        <w:t xml:space="preserve">Gavin I. Langmuir, chapters 3, 4, and 13 in </w:t>
      </w:r>
      <w:hyperlink r:id="rId17" w:history="1">
        <w:r w:rsidRPr="0082376B">
          <w:rPr>
            <w:rStyle w:val="Hyperlink"/>
            <w:i/>
            <w:iCs/>
            <w:sz w:val="22"/>
            <w:szCs w:val="22"/>
          </w:rPr>
          <w:t>Toward a Definition of Antisemitism</w:t>
        </w:r>
      </w:hyperlink>
      <w:r w:rsidRPr="002F0CE2">
        <w:rPr>
          <w:sz w:val="22"/>
          <w:szCs w:val="22"/>
        </w:rPr>
        <w:t xml:space="preserve"> (Berkeley: University of California Press, 1990), </w:t>
      </w:r>
      <w:r w:rsidRPr="002F0CE2">
        <w:rPr>
          <w:sz w:val="22"/>
          <w:szCs w:val="22"/>
          <w:lang w:bidi="he-IL"/>
        </w:rPr>
        <w:t>57–62, 63–99,</w:t>
      </w:r>
      <w:r w:rsidRPr="002F0CE2">
        <w:rPr>
          <w:sz w:val="22"/>
          <w:szCs w:val="22"/>
        </w:rPr>
        <w:t xml:space="preserve"> </w:t>
      </w:r>
      <w:r w:rsidRPr="002F0CE2">
        <w:rPr>
          <w:sz w:val="22"/>
          <w:szCs w:val="22"/>
          <w:lang w:bidi="he-IL"/>
        </w:rPr>
        <w:t>301–310.</w:t>
      </w:r>
    </w:p>
    <w:p w14:paraId="4AD1C200" w14:textId="77777777" w:rsidR="009B502D" w:rsidRPr="002F0CE2" w:rsidRDefault="009B502D" w:rsidP="00DE56A0">
      <w:pPr>
        <w:rPr>
          <w:sz w:val="22"/>
          <w:szCs w:val="22"/>
        </w:rPr>
      </w:pPr>
    </w:p>
    <w:p w14:paraId="5E317B4A" w14:textId="277378A9" w:rsidR="009B502D" w:rsidRPr="002F0CE2" w:rsidRDefault="009B502D" w:rsidP="005C5A14">
      <w:pPr>
        <w:spacing w:line="0" w:lineRule="atLeast"/>
        <w:outlineLvl w:val="0"/>
        <w:rPr>
          <w:b/>
          <w:sz w:val="22"/>
          <w:szCs w:val="22"/>
        </w:rPr>
      </w:pPr>
      <w:r w:rsidRPr="002F0CE2">
        <w:rPr>
          <w:b/>
          <w:sz w:val="22"/>
          <w:szCs w:val="22"/>
        </w:rPr>
        <w:t>Sep. 21</w:t>
      </w:r>
      <w:r w:rsidRPr="002F0CE2">
        <w:rPr>
          <w:sz w:val="22"/>
          <w:szCs w:val="22"/>
        </w:rPr>
        <w:t xml:space="preserve"> – </w:t>
      </w:r>
      <w:r w:rsidRPr="002F0CE2">
        <w:rPr>
          <w:b/>
          <w:sz w:val="22"/>
          <w:szCs w:val="22"/>
        </w:rPr>
        <w:t>The Middle Ages (cont’d)</w:t>
      </w:r>
    </w:p>
    <w:p w14:paraId="6BADB56A" w14:textId="79A100F2" w:rsidR="009B502D" w:rsidRPr="002F0CE2" w:rsidRDefault="009B502D" w:rsidP="009B502D">
      <w:pPr>
        <w:rPr>
          <w:sz w:val="22"/>
          <w:szCs w:val="22"/>
        </w:rPr>
      </w:pPr>
      <w:r w:rsidRPr="002F0CE2">
        <w:rPr>
          <w:sz w:val="22"/>
          <w:szCs w:val="22"/>
        </w:rPr>
        <w:t xml:space="preserve">Langmuir, chap. 14 in </w:t>
      </w:r>
      <w:hyperlink r:id="rId18" w:history="1">
        <w:r w:rsidRPr="0082376B">
          <w:rPr>
            <w:rStyle w:val="Hyperlink"/>
            <w:i/>
            <w:iCs/>
            <w:sz w:val="22"/>
            <w:szCs w:val="22"/>
          </w:rPr>
          <w:t>Toward a Definition of Antisemitism</w:t>
        </w:r>
      </w:hyperlink>
      <w:r w:rsidRPr="002F0CE2">
        <w:rPr>
          <w:sz w:val="22"/>
          <w:szCs w:val="22"/>
        </w:rPr>
        <w:t xml:space="preserve">, </w:t>
      </w:r>
      <w:r w:rsidRPr="002F0CE2">
        <w:rPr>
          <w:sz w:val="22"/>
          <w:szCs w:val="22"/>
          <w:lang w:bidi="he-IL"/>
        </w:rPr>
        <w:t>311–352</w:t>
      </w:r>
      <w:r w:rsidRPr="002F0CE2">
        <w:rPr>
          <w:sz w:val="22"/>
          <w:szCs w:val="22"/>
        </w:rPr>
        <w:t>.</w:t>
      </w:r>
    </w:p>
    <w:p w14:paraId="03B91F70" w14:textId="77777777" w:rsidR="009B502D" w:rsidRPr="002F0CE2" w:rsidRDefault="009B502D" w:rsidP="00DE56A0">
      <w:pPr>
        <w:rPr>
          <w:sz w:val="22"/>
          <w:szCs w:val="22"/>
        </w:rPr>
      </w:pPr>
    </w:p>
    <w:p w14:paraId="5063FE53" w14:textId="13E8B5BA" w:rsidR="009B502D" w:rsidRPr="002F0CE2" w:rsidRDefault="009B502D" w:rsidP="005C5A14">
      <w:pPr>
        <w:spacing w:line="0" w:lineRule="atLeast"/>
        <w:outlineLvl w:val="0"/>
        <w:rPr>
          <w:b/>
          <w:sz w:val="22"/>
          <w:szCs w:val="22"/>
        </w:rPr>
      </w:pPr>
      <w:r w:rsidRPr="002F0CE2">
        <w:rPr>
          <w:b/>
          <w:sz w:val="22"/>
          <w:szCs w:val="22"/>
        </w:rPr>
        <w:t>Sep. 26</w:t>
      </w:r>
      <w:r w:rsidRPr="002F0CE2">
        <w:rPr>
          <w:sz w:val="22"/>
          <w:szCs w:val="22"/>
        </w:rPr>
        <w:t xml:space="preserve"> – </w:t>
      </w:r>
      <w:r w:rsidRPr="002F0CE2">
        <w:rPr>
          <w:b/>
          <w:sz w:val="22"/>
          <w:szCs w:val="22"/>
        </w:rPr>
        <w:t>The Middle Ages (cont’d)</w:t>
      </w:r>
    </w:p>
    <w:p w14:paraId="341F4C89" w14:textId="78B3B6C3" w:rsidR="009B502D" w:rsidRPr="002F0CE2" w:rsidRDefault="009B502D" w:rsidP="009B502D">
      <w:pPr>
        <w:ind w:left="720" w:hanging="720"/>
        <w:rPr>
          <w:sz w:val="22"/>
          <w:szCs w:val="22"/>
        </w:rPr>
      </w:pPr>
      <w:r w:rsidRPr="002F0CE2">
        <w:rPr>
          <w:sz w:val="22"/>
          <w:szCs w:val="22"/>
        </w:rPr>
        <w:t xml:space="preserve">Joshua Trachtenberg, </w:t>
      </w:r>
      <w:r w:rsidRPr="002F0CE2">
        <w:rPr>
          <w:i/>
          <w:iCs/>
          <w:sz w:val="22"/>
          <w:szCs w:val="22"/>
        </w:rPr>
        <w:t>The Devil and the Jews: The Medieval Conception of the Jew and Its Relation to Modern Anti-Semitism</w:t>
      </w:r>
      <w:r w:rsidRPr="002F0CE2">
        <w:rPr>
          <w:sz w:val="22"/>
          <w:szCs w:val="22"/>
        </w:rPr>
        <w:t xml:space="preserve"> (Philadelphia: Jewish Publication Society, 1943), Preface (xiii–xvi), 1–7, 11–31, 124–139, 188–194, 217–220. </w:t>
      </w:r>
      <w:r w:rsidRPr="002F0CE2">
        <w:rPr>
          <w:sz w:val="22"/>
          <w:szCs w:val="22"/>
          <w:u w:val="single"/>
        </w:rPr>
        <w:t>Recommended</w:t>
      </w:r>
      <w:r w:rsidRPr="002F0CE2">
        <w:rPr>
          <w:sz w:val="22"/>
          <w:szCs w:val="22"/>
        </w:rPr>
        <w:t>: 32–52, 97–108, 109–123.</w:t>
      </w:r>
    </w:p>
    <w:p w14:paraId="25F1404E" w14:textId="77777777" w:rsidR="00411262" w:rsidRPr="002F0CE2" w:rsidRDefault="00411262" w:rsidP="00411262">
      <w:pPr>
        <w:rPr>
          <w:sz w:val="22"/>
          <w:szCs w:val="22"/>
        </w:rPr>
      </w:pPr>
    </w:p>
    <w:p w14:paraId="2ADE6B4E" w14:textId="51CDDA79" w:rsidR="009B502D" w:rsidRPr="002F0CE2" w:rsidRDefault="009B502D" w:rsidP="00411262">
      <w:pPr>
        <w:rPr>
          <w:sz w:val="22"/>
          <w:szCs w:val="22"/>
        </w:rPr>
      </w:pPr>
      <w:r w:rsidRPr="002F0CE2">
        <w:rPr>
          <w:b/>
          <w:sz w:val="22"/>
          <w:szCs w:val="22"/>
        </w:rPr>
        <w:t xml:space="preserve">Sep. 28 – </w:t>
      </w:r>
      <w:r w:rsidR="004D6F24" w:rsidRPr="002F0CE2">
        <w:rPr>
          <w:rFonts w:asciiTheme="majorBidi" w:hAnsiTheme="majorBidi" w:cstheme="majorBidi"/>
          <w:b/>
          <w:bCs/>
          <w:sz w:val="22"/>
          <w:szCs w:val="22"/>
        </w:rPr>
        <w:t>The p</w:t>
      </w:r>
      <w:r w:rsidRPr="002F0CE2">
        <w:rPr>
          <w:rFonts w:asciiTheme="majorBidi" w:hAnsiTheme="majorBidi" w:cstheme="majorBidi"/>
          <w:b/>
          <w:bCs/>
          <w:sz w:val="22"/>
          <w:szCs w:val="22"/>
        </w:rPr>
        <w:t>sychoanalytic perspective on anti-Judaism</w:t>
      </w:r>
    </w:p>
    <w:p w14:paraId="4E684636" w14:textId="7645795E" w:rsidR="009B502D" w:rsidRPr="002F0CE2" w:rsidRDefault="009B502D" w:rsidP="006758D7">
      <w:pPr>
        <w:ind w:left="720" w:hanging="720"/>
        <w:rPr>
          <w:rFonts w:asciiTheme="majorBidi" w:hAnsiTheme="majorBidi" w:cstheme="majorBidi"/>
          <w:sz w:val="22"/>
          <w:szCs w:val="22"/>
        </w:rPr>
      </w:pPr>
      <w:r w:rsidRPr="002F0CE2">
        <w:rPr>
          <w:rFonts w:asciiTheme="majorBidi" w:hAnsiTheme="majorBidi" w:cstheme="majorBidi"/>
          <w:sz w:val="22"/>
          <w:szCs w:val="22"/>
        </w:rPr>
        <w:t xml:space="preserve">Instructor’s preface to Freud’s </w:t>
      </w:r>
      <w:r w:rsidRPr="002F0CE2">
        <w:rPr>
          <w:rFonts w:asciiTheme="majorBidi" w:hAnsiTheme="majorBidi" w:cstheme="majorBidi"/>
          <w:i/>
          <w:iCs/>
          <w:sz w:val="22"/>
          <w:szCs w:val="22"/>
        </w:rPr>
        <w:t>Moses and Monotheism</w:t>
      </w:r>
      <w:r w:rsidR="006758D7">
        <w:rPr>
          <w:rFonts w:asciiTheme="majorBidi" w:hAnsiTheme="majorBidi" w:cstheme="majorBidi"/>
          <w:sz w:val="22"/>
          <w:szCs w:val="22"/>
        </w:rPr>
        <w:t xml:space="preserve"> (available on Canvas).</w:t>
      </w:r>
    </w:p>
    <w:p w14:paraId="115A58B7" w14:textId="0CA83E82" w:rsidR="009B502D" w:rsidRPr="002F0CE2" w:rsidRDefault="009B502D" w:rsidP="0057193F">
      <w:pPr>
        <w:ind w:left="720" w:hanging="720"/>
        <w:rPr>
          <w:rFonts w:asciiTheme="majorBidi" w:hAnsiTheme="majorBidi" w:cstheme="majorBidi"/>
          <w:sz w:val="22"/>
          <w:szCs w:val="22"/>
        </w:rPr>
      </w:pPr>
      <w:r w:rsidRPr="002F0CE2">
        <w:rPr>
          <w:rFonts w:asciiTheme="majorBidi" w:hAnsiTheme="majorBidi" w:cstheme="majorBidi"/>
          <w:sz w:val="22"/>
          <w:szCs w:val="22"/>
        </w:rPr>
        <w:t xml:space="preserve">Sigmund Freud, </w:t>
      </w:r>
      <w:r w:rsidRPr="002F0CE2">
        <w:rPr>
          <w:rFonts w:asciiTheme="majorBidi" w:hAnsiTheme="majorBidi" w:cstheme="majorBidi"/>
          <w:i/>
          <w:iCs/>
          <w:sz w:val="22"/>
          <w:szCs w:val="22"/>
        </w:rPr>
        <w:t>Moses and Monotheism</w:t>
      </w:r>
      <w:r w:rsidRPr="002F0CE2">
        <w:rPr>
          <w:rFonts w:asciiTheme="majorBidi" w:hAnsiTheme="majorBidi" w:cstheme="majorBidi"/>
          <w:sz w:val="22"/>
          <w:szCs w:val="22"/>
        </w:rPr>
        <w:t xml:space="preserve">, trans. </w:t>
      </w:r>
      <w:r w:rsidR="0057193F">
        <w:rPr>
          <w:rFonts w:asciiTheme="majorBidi" w:hAnsiTheme="majorBidi" w:cstheme="majorBidi"/>
          <w:sz w:val="22"/>
          <w:szCs w:val="22"/>
        </w:rPr>
        <w:t>K.</w:t>
      </w:r>
      <w:r w:rsidRPr="002F0CE2">
        <w:rPr>
          <w:rFonts w:asciiTheme="majorBidi" w:hAnsiTheme="majorBidi" w:cstheme="majorBidi"/>
          <w:sz w:val="22"/>
          <w:szCs w:val="22"/>
        </w:rPr>
        <w:t xml:space="preserve"> Jones (New York: Random House, 1939), 72–117.</w:t>
      </w:r>
    </w:p>
    <w:p w14:paraId="3F7D9904" w14:textId="77777777" w:rsidR="009B502D" w:rsidRPr="006758D7" w:rsidRDefault="009B502D" w:rsidP="00411262">
      <w:pPr>
        <w:rPr>
          <w:sz w:val="20"/>
        </w:rPr>
      </w:pPr>
    </w:p>
    <w:p w14:paraId="6BD00B78" w14:textId="2754DF26" w:rsidR="000E3ECA" w:rsidRPr="002F0CE2" w:rsidRDefault="000E3ECA" w:rsidP="000E3ECA">
      <w:pPr>
        <w:rPr>
          <w:sz w:val="20"/>
        </w:rPr>
      </w:pPr>
      <w:r w:rsidRPr="002F0CE2">
        <w:rPr>
          <w:sz w:val="20"/>
          <w:u w:val="single"/>
        </w:rPr>
        <w:t>Recommended</w:t>
      </w:r>
      <w:r w:rsidRPr="002F0CE2">
        <w:rPr>
          <w:sz w:val="20"/>
        </w:rPr>
        <w:t>:</w:t>
      </w:r>
    </w:p>
    <w:p w14:paraId="23E5A17B" w14:textId="77777777" w:rsidR="000E3ECA" w:rsidRPr="002F0CE2" w:rsidRDefault="000E3ECA" w:rsidP="000E3ECA">
      <w:pPr>
        <w:ind w:left="720" w:hanging="720"/>
        <w:rPr>
          <w:sz w:val="20"/>
        </w:rPr>
      </w:pPr>
      <w:r w:rsidRPr="002F0CE2">
        <w:rPr>
          <w:sz w:val="20"/>
        </w:rPr>
        <w:t xml:space="preserve">Otto Fenichel, “Psychoanalysis of Antisemitism,” </w:t>
      </w:r>
      <w:r w:rsidRPr="002F0CE2">
        <w:rPr>
          <w:i/>
          <w:iCs/>
          <w:sz w:val="20"/>
        </w:rPr>
        <w:t>American Imago</w:t>
      </w:r>
      <w:r w:rsidRPr="002F0CE2">
        <w:rPr>
          <w:sz w:val="20"/>
        </w:rPr>
        <w:t xml:space="preserve"> 1, no. 2 (March 1940): 24–39.</w:t>
      </w:r>
    </w:p>
    <w:p w14:paraId="020A20FA" w14:textId="3B70A754" w:rsidR="000E3ECA" w:rsidRPr="002F0CE2" w:rsidRDefault="000E3ECA" w:rsidP="000E3ECA">
      <w:pPr>
        <w:ind w:left="720" w:hanging="720"/>
        <w:rPr>
          <w:sz w:val="20"/>
        </w:rPr>
      </w:pPr>
      <w:r w:rsidRPr="002F0CE2">
        <w:rPr>
          <w:sz w:val="20"/>
        </w:rPr>
        <w:t xml:space="preserve">Otto Fenichel, “Elements of a Psychoanalytic Theory of Antisemitism,” in </w:t>
      </w:r>
      <w:r w:rsidRPr="002F0CE2">
        <w:rPr>
          <w:i/>
          <w:iCs/>
          <w:sz w:val="20"/>
        </w:rPr>
        <w:t>Anti-Semitism, a Social Disease</w:t>
      </w:r>
      <w:r w:rsidRPr="002F0CE2">
        <w:rPr>
          <w:sz w:val="20"/>
        </w:rPr>
        <w:t>, ed. Ernst Simmel (New York: International Universities Press, 1946), 11–32.</w:t>
      </w:r>
    </w:p>
    <w:p w14:paraId="599FC81F" w14:textId="77777777" w:rsidR="000E3ECA" w:rsidRPr="002F0CE2" w:rsidRDefault="000E3ECA" w:rsidP="0022692A">
      <w:pPr>
        <w:rPr>
          <w:sz w:val="22"/>
          <w:szCs w:val="22"/>
        </w:rPr>
      </w:pPr>
    </w:p>
    <w:p w14:paraId="0027D364" w14:textId="762C20B0" w:rsidR="002E71C7" w:rsidRPr="002F0CE2" w:rsidRDefault="00800F70" w:rsidP="002E71C7">
      <w:pPr>
        <w:rPr>
          <w:rFonts w:ascii="Times New Roman Bold" w:hAnsi="Times New Roman Bold"/>
          <w:b/>
          <w:bCs/>
          <w:szCs w:val="24"/>
          <w:u w:val="single"/>
        </w:rPr>
      </w:pPr>
      <w:r w:rsidRPr="002F0CE2">
        <w:rPr>
          <w:rFonts w:ascii="Times New Roman Bold" w:hAnsi="Times New Roman Bold"/>
          <w:b/>
          <w:bCs/>
          <w:szCs w:val="24"/>
          <w:u w:val="single"/>
        </w:rPr>
        <w:t>II.</w:t>
      </w:r>
      <w:r w:rsidR="002E71C7" w:rsidRPr="002F0CE2">
        <w:rPr>
          <w:rFonts w:ascii="Times New Roman Bold" w:hAnsi="Times New Roman Bold"/>
          <w:b/>
          <w:bCs/>
          <w:szCs w:val="24"/>
          <w:u w:val="single"/>
        </w:rPr>
        <w:t xml:space="preserve"> MODERN ANTISEMITISM</w:t>
      </w:r>
    </w:p>
    <w:p w14:paraId="2F3ADC72" w14:textId="77777777" w:rsidR="002E71C7" w:rsidRPr="002F0CE2" w:rsidRDefault="002E71C7" w:rsidP="0022692A">
      <w:pPr>
        <w:rPr>
          <w:sz w:val="22"/>
          <w:szCs w:val="22"/>
        </w:rPr>
      </w:pPr>
    </w:p>
    <w:p w14:paraId="4FFA9639" w14:textId="34B8479A" w:rsidR="00DA10B5" w:rsidRPr="002F0CE2" w:rsidRDefault="009B502D" w:rsidP="009B502D">
      <w:pPr>
        <w:rPr>
          <w:sz w:val="22"/>
          <w:szCs w:val="22"/>
        </w:rPr>
      </w:pPr>
      <w:r w:rsidRPr="002F0CE2">
        <w:rPr>
          <w:b/>
          <w:sz w:val="22"/>
          <w:szCs w:val="22"/>
        </w:rPr>
        <w:t>Oct. 3 –</w:t>
      </w:r>
      <w:r w:rsidRPr="002F0CE2">
        <w:rPr>
          <w:sz w:val="22"/>
          <w:szCs w:val="22"/>
        </w:rPr>
        <w:t xml:space="preserve"> </w:t>
      </w:r>
      <w:r w:rsidR="002E71C7" w:rsidRPr="002F0CE2">
        <w:rPr>
          <w:b/>
          <w:bCs/>
          <w:sz w:val="22"/>
          <w:szCs w:val="22"/>
        </w:rPr>
        <w:t>Anti-Judaism</w:t>
      </w:r>
      <w:r w:rsidR="001C1299" w:rsidRPr="002F0CE2">
        <w:rPr>
          <w:b/>
          <w:bCs/>
          <w:sz w:val="22"/>
          <w:szCs w:val="22"/>
        </w:rPr>
        <w:t xml:space="preserve"> </w:t>
      </w:r>
      <w:r w:rsidRPr="002F0CE2">
        <w:rPr>
          <w:b/>
          <w:bCs/>
          <w:sz w:val="22"/>
          <w:szCs w:val="22"/>
        </w:rPr>
        <w:t>in the Spanish e</w:t>
      </w:r>
      <w:r w:rsidR="00AB0272" w:rsidRPr="002F0CE2">
        <w:rPr>
          <w:b/>
          <w:bCs/>
          <w:sz w:val="22"/>
          <w:szCs w:val="22"/>
        </w:rPr>
        <w:t>xpulsion, Reformation, and Enlightenment</w:t>
      </w:r>
    </w:p>
    <w:p w14:paraId="56D1DF64" w14:textId="51F65AB9" w:rsidR="00AB0272" w:rsidRPr="002F0CE2" w:rsidRDefault="00DA10B5" w:rsidP="00DA10B5">
      <w:pPr>
        <w:ind w:left="720" w:hanging="720"/>
        <w:rPr>
          <w:sz w:val="22"/>
          <w:szCs w:val="22"/>
        </w:rPr>
      </w:pPr>
      <w:r w:rsidRPr="002F0CE2">
        <w:rPr>
          <w:sz w:val="22"/>
          <w:szCs w:val="22"/>
        </w:rPr>
        <w:t xml:space="preserve">Nirenberg, </w:t>
      </w:r>
      <w:r w:rsidR="00AB0272" w:rsidRPr="002F0CE2">
        <w:rPr>
          <w:i/>
          <w:iCs/>
          <w:sz w:val="22"/>
          <w:szCs w:val="22"/>
        </w:rPr>
        <w:t>Anti-Judaism</w:t>
      </w:r>
      <w:r w:rsidR="00AB0272" w:rsidRPr="002F0CE2">
        <w:rPr>
          <w:sz w:val="22"/>
          <w:szCs w:val="22"/>
        </w:rPr>
        <w:t>, 217–245, 246–268</w:t>
      </w:r>
      <w:r w:rsidR="009B502D" w:rsidRPr="002F0CE2">
        <w:rPr>
          <w:sz w:val="22"/>
          <w:szCs w:val="22"/>
        </w:rPr>
        <w:t>, 343–</w:t>
      </w:r>
      <w:r w:rsidR="00AB0272" w:rsidRPr="002F0CE2">
        <w:rPr>
          <w:sz w:val="22"/>
          <w:szCs w:val="22"/>
        </w:rPr>
        <w:t>355.</w:t>
      </w:r>
    </w:p>
    <w:p w14:paraId="515F133A" w14:textId="77777777" w:rsidR="00AB0272" w:rsidRPr="002F0CE2" w:rsidRDefault="00AB0272" w:rsidP="0065500A">
      <w:pPr>
        <w:rPr>
          <w:b/>
          <w:bCs/>
          <w:sz w:val="22"/>
          <w:szCs w:val="22"/>
        </w:rPr>
      </w:pPr>
    </w:p>
    <w:p w14:paraId="1170B376" w14:textId="49D0465D" w:rsidR="0022692A" w:rsidRPr="002F0CE2" w:rsidRDefault="009B502D" w:rsidP="009B502D">
      <w:pPr>
        <w:rPr>
          <w:b/>
          <w:bCs/>
          <w:sz w:val="22"/>
          <w:szCs w:val="22"/>
        </w:rPr>
      </w:pPr>
      <w:r w:rsidRPr="002F0CE2">
        <w:rPr>
          <w:b/>
          <w:sz w:val="22"/>
          <w:szCs w:val="22"/>
        </w:rPr>
        <w:t>Oct. 5 –</w:t>
      </w:r>
      <w:r w:rsidRPr="002F0CE2">
        <w:rPr>
          <w:b/>
          <w:bCs/>
          <w:sz w:val="22"/>
          <w:szCs w:val="22"/>
        </w:rPr>
        <w:t xml:space="preserve"> </w:t>
      </w:r>
      <w:r w:rsidR="0022692A" w:rsidRPr="002F0CE2">
        <w:rPr>
          <w:b/>
          <w:bCs/>
          <w:sz w:val="22"/>
          <w:szCs w:val="22"/>
        </w:rPr>
        <w:t>The French Revolution</w:t>
      </w:r>
    </w:p>
    <w:p w14:paraId="6DAE9FF8" w14:textId="4EBE0F15" w:rsidR="0022692A" w:rsidRPr="002F0CE2" w:rsidRDefault="0022692A" w:rsidP="009B502D">
      <w:pPr>
        <w:ind w:left="720" w:hanging="720"/>
        <w:rPr>
          <w:sz w:val="22"/>
          <w:szCs w:val="22"/>
        </w:rPr>
      </w:pPr>
      <w:r w:rsidRPr="002F0CE2">
        <w:rPr>
          <w:sz w:val="22"/>
          <w:szCs w:val="22"/>
        </w:rPr>
        <w:t xml:space="preserve">Nirenberg, </w:t>
      </w:r>
      <w:r w:rsidRPr="002F0CE2">
        <w:rPr>
          <w:i/>
          <w:iCs/>
          <w:sz w:val="22"/>
          <w:szCs w:val="22"/>
        </w:rPr>
        <w:t>Anti-Judaism</w:t>
      </w:r>
      <w:r w:rsidRPr="002F0CE2">
        <w:rPr>
          <w:sz w:val="22"/>
          <w:szCs w:val="22"/>
        </w:rPr>
        <w:t xml:space="preserve">, </w:t>
      </w:r>
      <w:r w:rsidR="00AB0272" w:rsidRPr="002F0CE2">
        <w:rPr>
          <w:sz w:val="22"/>
          <w:szCs w:val="22"/>
        </w:rPr>
        <w:t>361–386, 461–472.</w:t>
      </w:r>
    </w:p>
    <w:p w14:paraId="09E2FFB0" w14:textId="059B367E" w:rsidR="001C1299" w:rsidRPr="002F0CE2" w:rsidRDefault="001C1299" w:rsidP="00DF748D">
      <w:pPr>
        <w:ind w:left="720" w:hanging="720"/>
        <w:rPr>
          <w:sz w:val="22"/>
          <w:szCs w:val="22"/>
        </w:rPr>
      </w:pPr>
      <w:r w:rsidRPr="002F0CE2">
        <w:rPr>
          <w:sz w:val="22"/>
          <w:szCs w:val="22"/>
        </w:rPr>
        <w:t xml:space="preserve">Arthur Hertzberg, </w:t>
      </w:r>
      <w:r w:rsidRPr="002F0CE2">
        <w:rPr>
          <w:i/>
          <w:iCs/>
          <w:sz w:val="22"/>
          <w:szCs w:val="22"/>
        </w:rPr>
        <w:t>The French Enlightenment and the Jews</w:t>
      </w:r>
      <w:r w:rsidRPr="002F0CE2">
        <w:rPr>
          <w:sz w:val="22"/>
          <w:szCs w:val="22"/>
        </w:rPr>
        <w:t xml:space="preserve"> (New York: Columbia Un</w:t>
      </w:r>
      <w:r w:rsidR="00B32395" w:rsidRPr="002F0CE2">
        <w:rPr>
          <w:sz w:val="22"/>
          <w:szCs w:val="22"/>
        </w:rPr>
        <w:t>iversity Press, 1968), 1–11, 338</w:t>
      </w:r>
      <w:r w:rsidRPr="002F0CE2">
        <w:rPr>
          <w:sz w:val="22"/>
          <w:szCs w:val="22"/>
        </w:rPr>
        <w:t>–368.</w:t>
      </w:r>
    </w:p>
    <w:p w14:paraId="2F9FB37F" w14:textId="77777777" w:rsidR="00AB0272" w:rsidRPr="002F0CE2" w:rsidRDefault="00AB0272" w:rsidP="001C1299">
      <w:pPr>
        <w:rPr>
          <w:b/>
          <w:bCs/>
          <w:sz w:val="22"/>
          <w:szCs w:val="22"/>
        </w:rPr>
      </w:pPr>
    </w:p>
    <w:p w14:paraId="7803CEEE" w14:textId="3DC61CB6" w:rsidR="0022692A" w:rsidRPr="002F0CE2" w:rsidRDefault="00D700ED" w:rsidP="00D700ED">
      <w:pPr>
        <w:rPr>
          <w:b/>
          <w:sz w:val="22"/>
          <w:szCs w:val="22"/>
        </w:rPr>
      </w:pPr>
      <w:r w:rsidRPr="002F0CE2">
        <w:rPr>
          <w:b/>
          <w:sz w:val="22"/>
          <w:szCs w:val="22"/>
        </w:rPr>
        <w:t xml:space="preserve">Oct. 10 – </w:t>
      </w:r>
      <w:r w:rsidR="0091130E" w:rsidRPr="002F0CE2">
        <w:rPr>
          <w:b/>
          <w:bCs/>
          <w:sz w:val="22"/>
          <w:szCs w:val="22"/>
        </w:rPr>
        <w:t xml:space="preserve">Is antisemitism </w:t>
      </w:r>
      <w:r w:rsidR="0085780F">
        <w:rPr>
          <w:b/>
          <w:bCs/>
          <w:sz w:val="22"/>
          <w:szCs w:val="22"/>
        </w:rPr>
        <w:t>irrational and antimodern, or rational</w:t>
      </w:r>
      <w:r w:rsidR="00805DA0">
        <w:rPr>
          <w:b/>
          <w:bCs/>
          <w:sz w:val="22"/>
          <w:szCs w:val="22"/>
        </w:rPr>
        <w:t xml:space="preserve"> and modern</w:t>
      </w:r>
      <w:r w:rsidR="00765C62" w:rsidRPr="002F0CE2">
        <w:rPr>
          <w:b/>
          <w:bCs/>
          <w:sz w:val="22"/>
          <w:szCs w:val="22"/>
        </w:rPr>
        <w:t>?</w:t>
      </w:r>
    </w:p>
    <w:p w14:paraId="760E84D6" w14:textId="2819C863" w:rsidR="000262CE" w:rsidRPr="002F0CE2" w:rsidRDefault="002E71C7" w:rsidP="000262CE">
      <w:pPr>
        <w:ind w:left="720" w:hanging="720"/>
        <w:rPr>
          <w:sz w:val="22"/>
          <w:szCs w:val="22"/>
        </w:rPr>
      </w:pPr>
      <w:r w:rsidRPr="002F0CE2">
        <w:rPr>
          <w:sz w:val="22"/>
          <w:szCs w:val="22"/>
        </w:rPr>
        <w:t xml:space="preserve">Beller, </w:t>
      </w:r>
      <w:r w:rsidR="000262CE" w:rsidRPr="002F0CE2">
        <w:rPr>
          <w:sz w:val="22"/>
          <w:szCs w:val="22"/>
        </w:rPr>
        <w:t xml:space="preserve">chapters 3–5 in </w:t>
      </w:r>
      <w:hyperlink r:id="rId19" w:history="1">
        <w:r w:rsidRPr="0082376B">
          <w:rPr>
            <w:rStyle w:val="Hyperlink"/>
            <w:i/>
            <w:iCs/>
            <w:sz w:val="22"/>
            <w:szCs w:val="22"/>
          </w:rPr>
          <w:t>Antisemitism</w:t>
        </w:r>
      </w:hyperlink>
      <w:r w:rsidRPr="002F0CE2">
        <w:rPr>
          <w:sz w:val="22"/>
          <w:szCs w:val="22"/>
        </w:rPr>
        <w:t>, 23–</w:t>
      </w:r>
      <w:r w:rsidR="000262CE" w:rsidRPr="002F0CE2">
        <w:rPr>
          <w:rFonts w:asciiTheme="majorBidi" w:hAnsiTheme="majorBidi" w:cstheme="majorBidi"/>
          <w:color w:val="000000"/>
          <w:sz w:val="22"/>
          <w:szCs w:val="22"/>
        </w:rPr>
        <w:t>73</w:t>
      </w:r>
      <w:r w:rsidRPr="002F0CE2">
        <w:rPr>
          <w:sz w:val="22"/>
          <w:szCs w:val="22"/>
        </w:rPr>
        <w:t>.</w:t>
      </w:r>
    </w:p>
    <w:p w14:paraId="73BEA9A9" w14:textId="00268532" w:rsidR="003C4544" w:rsidRPr="002F0CE2" w:rsidRDefault="003C4544" w:rsidP="000262CE">
      <w:pPr>
        <w:ind w:left="720" w:hanging="720"/>
        <w:rPr>
          <w:rFonts w:asciiTheme="majorBidi" w:hAnsiTheme="majorBidi" w:cstheme="majorBidi"/>
          <w:color w:val="000000"/>
          <w:sz w:val="22"/>
          <w:szCs w:val="22"/>
        </w:rPr>
      </w:pPr>
      <w:r w:rsidRPr="002F0CE2">
        <w:rPr>
          <w:rFonts w:asciiTheme="majorBidi" w:hAnsiTheme="majorBidi" w:cstheme="majorBidi"/>
          <w:color w:val="000000"/>
          <w:sz w:val="22"/>
          <w:szCs w:val="22"/>
        </w:rPr>
        <w:t xml:space="preserve">Wilhelm Marr, </w:t>
      </w:r>
      <w:r w:rsidRPr="002F0CE2">
        <w:rPr>
          <w:rFonts w:asciiTheme="majorBidi" w:hAnsiTheme="majorBidi" w:cstheme="majorBidi"/>
          <w:i/>
          <w:iCs/>
          <w:color w:val="000000"/>
          <w:sz w:val="22"/>
          <w:szCs w:val="22"/>
        </w:rPr>
        <w:t>The Victory of Jewry over Germandom</w:t>
      </w:r>
      <w:r w:rsidRPr="002F0CE2">
        <w:rPr>
          <w:rFonts w:asciiTheme="majorBidi" w:hAnsiTheme="majorBidi" w:cstheme="majorBidi"/>
          <w:color w:val="000000"/>
          <w:sz w:val="22"/>
          <w:szCs w:val="22"/>
        </w:rPr>
        <w:t xml:space="preserve"> (1879), in </w:t>
      </w:r>
      <w:r w:rsidRPr="002F0CE2">
        <w:rPr>
          <w:rFonts w:asciiTheme="majorBidi" w:hAnsiTheme="majorBidi" w:cstheme="majorBidi"/>
          <w:i/>
          <w:iCs/>
          <w:color w:val="000000"/>
          <w:sz w:val="22"/>
          <w:szCs w:val="22"/>
        </w:rPr>
        <w:t>Antisemitism in the Modern World: An Anthology of Texts</w:t>
      </w:r>
      <w:r w:rsidRPr="002F0CE2">
        <w:rPr>
          <w:rFonts w:asciiTheme="majorBidi" w:hAnsiTheme="majorBidi" w:cstheme="majorBidi"/>
          <w:color w:val="000000"/>
          <w:sz w:val="22"/>
          <w:szCs w:val="22"/>
        </w:rPr>
        <w:t>, ed. Richard S. Levy (Lexington: D.C. Heath, 1991), 76–93.</w:t>
      </w:r>
    </w:p>
    <w:p w14:paraId="3B35FF7B" w14:textId="77777777" w:rsidR="00D700ED" w:rsidRPr="002F0CE2" w:rsidRDefault="00D700ED" w:rsidP="00DD6EFB">
      <w:pPr>
        <w:ind w:left="720" w:hanging="720"/>
        <w:rPr>
          <w:rFonts w:asciiTheme="majorBidi" w:hAnsiTheme="majorBidi" w:cstheme="majorBidi"/>
          <w:color w:val="000000"/>
          <w:sz w:val="20"/>
          <w:u w:val="single"/>
        </w:rPr>
      </w:pPr>
    </w:p>
    <w:p w14:paraId="41E2674F" w14:textId="3E836992" w:rsidR="00D700ED" w:rsidRPr="002F0CE2" w:rsidRDefault="00B32395" w:rsidP="00BE4E96">
      <w:pPr>
        <w:ind w:left="720" w:hanging="720"/>
        <w:rPr>
          <w:rFonts w:asciiTheme="majorBidi" w:hAnsiTheme="majorBidi" w:cstheme="majorBidi"/>
          <w:color w:val="000000"/>
          <w:sz w:val="20"/>
        </w:rPr>
      </w:pPr>
      <w:r w:rsidRPr="002F0CE2">
        <w:rPr>
          <w:rFonts w:asciiTheme="majorBidi" w:hAnsiTheme="majorBidi" w:cstheme="majorBidi"/>
          <w:color w:val="000000"/>
          <w:sz w:val="20"/>
          <w:u w:val="single"/>
        </w:rPr>
        <w:t>Recommended</w:t>
      </w:r>
      <w:r w:rsidR="00DD6EFB" w:rsidRPr="002F0CE2">
        <w:rPr>
          <w:rFonts w:asciiTheme="majorBidi" w:hAnsiTheme="majorBidi" w:cstheme="majorBidi"/>
          <w:color w:val="000000"/>
          <w:sz w:val="20"/>
        </w:rPr>
        <w:t>:</w:t>
      </w:r>
      <w:r w:rsidR="00BE4E96">
        <w:rPr>
          <w:rFonts w:asciiTheme="majorBidi" w:hAnsiTheme="majorBidi" w:cstheme="majorBidi"/>
          <w:color w:val="000000"/>
          <w:sz w:val="20"/>
        </w:rPr>
        <w:t xml:space="preserve"> </w:t>
      </w:r>
      <w:r w:rsidR="00D700ED" w:rsidRPr="002F0CE2">
        <w:rPr>
          <w:rFonts w:asciiTheme="majorBidi" w:hAnsiTheme="majorBidi" w:cstheme="majorBidi"/>
          <w:color w:val="000000"/>
          <w:sz w:val="20"/>
        </w:rPr>
        <w:t xml:space="preserve">Norbert Elias, “On the Sociology of German Anti-Semitism,” </w:t>
      </w:r>
      <w:r w:rsidR="00D700ED" w:rsidRPr="002F0CE2">
        <w:rPr>
          <w:rFonts w:asciiTheme="majorBidi" w:hAnsiTheme="majorBidi" w:cstheme="majorBidi"/>
          <w:i/>
          <w:iCs/>
          <w:color w:val="000000"/>
          <w:sz w:val="20"/>
        </w:rPr>
        <w:t>Journal of Classical Sociology</w:t>
      </w:r>
      <w:r w:rsidR="00D700ED" w:rsidRPr="002F0CE2">
        <w:rPr>
          <w:rFonts w:asciiTheme="majorBidi" w:hAnsiTheme="majorBidi" w:cstheme="majorBidi"/>
          <w:color w:val="000000"/>
          <w:sz w:val="20"/>
        </w:rPr>
        <w:t xml:space="preserve"> 1, no. 2 (2001): 219–225. First published in </w:t>
      </w:r>
      <w:r w:rsidR="00BE4E96">
        <w:rPr>
          <w:rFonts w:asciiTheme="majorBidi" w:hAnsiTheme="majorBidi" w:cstheme="majorBidi"/>
          <w:color w:val="000000"/>
          <w:sz w:val="20"/>
        </w:rPr>
        <w:t>Dec.</w:t>
      </w:r>
      <w:r w:rsidR="00D700ED" w:rsidRPr="002F0CE2">
        <w:rPr>
          <w:rFonts w:asciiTheme="majorBidi" w:hAnsiTheme="majorBidi" w:cstheme="majorBidi"/>
          <w:color w:val="000000"/>
          <w:sz w:val="20"/>
        </w:rPr>
        <w:t xml:space="preserve"> 1929.</w:t>
      </w:r>
      <w:r w:rsidR="00BE4E96">
        <w:rPr>
          <w:rFonts w:asciiTheme="majorBidi" w:hAnsiTheme="majorBidi" w:cstheme="majorBidi"/>
          <w:color w:val="000000"/>
          <w:sz w:val="20"/>
        </w:rPr>
        <w:t xml:space="preserve"> See also introduction by </w:t>
      </w:r>
      <w:r w:rsidR="00BE4E96" w:rsidRPr="002F0CE2">
        <w:rPr>
          <w:rFonts w:asciiTheme="majorBidi" w:hAnsiTheme="majorBidi" w:cstheme="majorBidi"/>
          <w:color w:val="000000"/>
          <w:sz w:val="20"/>
        </w:rPr>
        <w:t>Eric Dunning et al.,</w:t>
      </w:r>
      <w:r w:rsidR="00BE4E96">
        <w:rPr>
          <w:rFonts w:asciiTheme="majorBidi" w:hAnsiTheme="majorBidi" w:cstheme="majorBidi"/>
          <w:color w:val="000000"/>
          <w:sz w:val="20"/>
        </w:rPr>
        <w:t xml:space="preserve"> pp. </w:t>
      </w:r>
      <w:r w:rsidR="00BE4E96" w:rsidRPr="002F0CE2">
        <w:rPr>
          <w:rFonts w:asciiTheme="majorBidi" w:hAnsiTheme="majorBidi" w:cstheme="majorBidi"/>
          <w:color w:val="000000"/>
          <w:sz w:val="20"/>
        </w:rPr>
        <w:t>213–217</w:t>
      </w:r>
      <w:r w:rsidR="00BE4E96">
        <w:rPr>
          <w:rFonts w:asciiTheme="majorBidi" w:hAnsiTheme="majorBidi" w:cstheme="majorBidi"/>
          <w:color w:val="000000"/>
          <w:sz w:val="20"/>
        </w:rPr>
        <w:t>.</w:t>
      </w:r>
    </w:p>
    <w:p w14:paraId="4EB5BCE2" w14:textId="77777777" w:rsidR="00B32395" w:rsidRPr="002F0CE2" w:rsidRDefault="00B32395" w:rsidP="00B32395">
      <w:pPr>
        <w:ind w:left="720" w:hanging="720"/>
        <w:rPr>
          <w:rFonts w:asciiTheme="majorBidi" w:hAnsiTheme="majorBidi" w:cstheme="majorBidi"/>
          <w:color w:val="000000"/>
          <w:sz w:val="22"/>
          <w:szCs w:val="22"/>
        </w:rPr>
      </w:pPr>
    </w:p>
    <w:p w14:paraId="2D1C0B96" w14:textId="497E2D98" w:rsidR="00B32395" w:rsidRPr="002F0CE2" w:rsidRDefault="00D700ED" w:rsidP="00D700ED">
      <w:pPr>
        <w:rPr>
          <w:b/>
          <w:bCs/>
          <w:sz w:val="22"/>
          <w:szCs w:val="22"/>
        </w:rPr>
      </w:pPr>
      <w:r w:rsidRPr="002F0CE2">
        <w:rPr>
          <w:b/>
          <w:sz w:val="22"/>
          <w:szCs w:val="22"/>
        </w:rPr>
        <w:t>Oct. 12 –</w:t>
      </w:r>
      <w:r w:rsidRPr="002F0CE2">
        <w:rPr>
          <w:b/>
          <w:bCs/>
          <w:sz w:val="22"/>
          <w:szCs w:val="22"/>
        </w:rPr>
        <w:t xml:space="preserve"> </w:t>
      </w:r>
      <w:r w:rsidRPr="002F0CE2">
        <w:rPr>
          <w:rFonts w:asciiTheme="majorBidi" w:hAnsiTheme="majorBidi" w:cstheme="majorBidi"/>
          <w:b/>
          <w:bCs/>
          <w:color w:val="000000"/>
          <w:sz w:val="22"/>
          <w:szCs w:val="22"/>
        </w:rPr>
        <w:t>Arendt on the origins of modern antisemitism</w:t>
      </w:r>
    </w:p>
    <w:p w14:paraId="00A2E946" w14:textId="4064DCA2" w:rsidR="00B32395" w:rsidRPr="002F0CE2" w:rsidRDefault="00B32395" w:rsidP="003F722A">
      <w:pPr>
        <w:ind w:left="720" w:hanging="720"/>
        <w:rPr>
          <w:rFonts w:asciiTheme="majorBidi" w:hAnsiTheme="majorBidi" w:cstheme="majorBidi"/>
          <w:color w:val="000000"/>
          <w:sz w:val="22"/>
          <w:szCs w:val="22"/>
        </w:rPr>
      </w:pPr>
      <w:r w:rsidRPr="002F0CE2">
        <w:rPr>
          <w:rFonts w:asciiTheme="majorBidi" w:hAnsiTheme="majorBidi" w:cstheme="majorBidi"/>
          <w:color w:val="000000"/>
          <w:sz w:val="22"/>
          <w:szCs w:val="22"/>
        </w:rPr>
        <w:t xml:space="preserve">Hannah Arendt, </w:t>
      </w:r>
      <w:hyperlink r:id="rId20" w:history="1">
        <w:r w:rsidRPr="003F722A">
          <w:rPr>
            <w:rStyle w:val="Hyperlink"/>
            <w:rFonts w:asciiTheme="majorBidi" w:hAnsiTheme="majorBidi" w:cstheme="majorBidi"/>
            <w:i/>
            <w:iCs/>
            <w:sz w:val="22"/>
            <w:szCs w:val="22"/>
          </w:rPr>
          <w:t>The Origins of Totalitarianism</w:t>
        </w:r>
      </w:hyperlink>
      <w:r w:rsidRPr="002F0CE2">
        <w:rPr>
          <w:rFonts w:asciiTheme="majorBidi" w:hAnsiTheme="majorBidi" w:cstheme="majorBidi"/>
          <w:color w:val="000000"/>
          <w:sz w:val="22"/>
          <w:szCs w:val="22"/>
        </w:rPr>
        <w:t xml:space="preserve"> (New York: Harcourt Brace, 1968), 3–53. </w:t>
      </w:r>
      <w:r w:rsidR="00D700ED" w:rsidRPr="002F0CE2">
        <w:rPr>
          <w:rFonts w:asciiTheme="majorBidi" w:hAnsiTheme="majorBidi" w:cstheme="majorBidi"/>
          <w:color w:val="000000"/>
          <w:sz w:val="22"/>
          <w:szCs w:val="22"/>
        </w:rPr>
        <w:t>The rest of Part One (pp. 54</w:t>
      </w:r>
      <w:r w:rsidR="00734BFD" w:rsidRPr="002F0CE2">
        <w:rPr>
          <w:rFonts w:asciiTheme="majorBidi" w:hAnsiTheme="majorBidi" w:cstheme="majorBidi"/>
          <w:color w:val="000000"/>
          <w:sz w:val="22"/>
          <w:szCs w:val="22"/>
        </w:rPr>
        <w:t>–120</w:t>
      </w:r>
      <w:r w:rsidR="00D700ED" w:rsidRPr="002F0CE2">
        <w:rPr>
          <w:rFonts w:asciiTheme="majorBidi" w:hAnsiTheme="majorBidi" w:cstheme="majorBidi"/>
          <w:color w:val="000000"/>
          <w:sz w:val="22"/>
          <w:szCs w:val="22"/>
        </w:rPr>
        <w:t>) is recommended.</w:t>
      </w:r>
    </w:p>
    <w:p w14:paraId="36799EFB" w14:textId="77777777" w:rsidR="00DD6EFB" w:rsidRPr="002F0CE2" w:rsidRDefault="00DD6EFB" w:rsidP="0065500A">
      <w:pPr>
        <w:rPr>
          <w:b/>
          <w:bCs/>
          <w:sz w:val="22"/>
          <w:szCs w:val="22"/>
        </w:rPr>
      </w:pPr>
    </w:p>
    <w:p w14:paraId="45EA6974" w14:textId="2098C765" w:rsidR="00D700ED" w:rsidRPr="002F0CE2" w:rsidRDefault="00523A07" w:rsidP="0065500A">
      <w:pPr>
        <w:rPr>
          <w:b/>
          <w:bCs/>
          <w:sz w:val="22"/>
          <w:szCs w:val="22"/>
        </w:rPr>
      </w:pPr>
      <w:r w:rsidRPr="002F0CE2">
        <w:rPr>
          <w:b/>
          <w:sz w:val="22"/>
          <w:szCs w:val="22"/>
        </w:rPr>
        <w:t>Oct. 17 – The importance of Christian anti-Judaism to modern antisemitism</w:t>
      </w:r>
    </w:p>
    <w:p w14:paraId="363D9F46" w14:textId="74172A5A" w:rsidR="00180FC8" w:rsidRPr="002F0CE2" w:rsidRDefault="00FA207E" w:rsidP="008D537F">
      <w:pPr>
        <w:ind w:left="720" w:hanging="720"/>
        <w:rPr>
          <w:sz w:val="22"/>
          <w:szCs w:val="22"/>
        </w:rPr>
      </w:pPr>
      <w:r w:rsidRPr="002F0CE2">
        <w:rPr>
          <w:sz w:val="22"/>
          <w:szCs w:val="22"/>
        </w:rPr>
        <w:t xml:space="preserve">Jacob Katz, </w:t>
      </w:r>
      <w:r w:rsidRPr="002F0CE2">
        <w:rPr>
          <w:i/>
          <w:iCs/>
          <w:sz w:val="22"/>
          <w:szCs w:val="22"/>
        </w:rPr>
        <w:t>From Prejudice to Destruction: Anti-Semitism, 1700–1933</w:t>
      </w:r>
      <w:r w:rsidRPr="002F0CE2">
        <w:rPr>
          <w:sz w:val="22"/>
          <w:szCs w:val="22"/>
        </w:rPr>
        <w:t xml:space="preserve"> (Cambridge: H</w:t>
      </w:r>
      <w:r w:rsidR="00180FC8" w:rsidRPr="002F0CE2">
        <w:rPr>
          <w:sz w:val="22"/>
          <w:szCs w:val="22"/>
        </w:rPr>
        <w:t>arvard University Press, 1980),</w:t>
      </w:r>
      <w:r w:rsidR="009C5C04" w:rsidRPr="002F0CE2">
        <w:rPr>
          <w:sz w:val="22"/>
          <w:szCs w:val="22"/>
        </w:rPr>
        <w:t xml:space="preserve"> 1–10, </w:t>
      </w:r>
      <w:r w:rsidR="008322F7" w:rsidRPr="002F0CE2">
        <w:rPr>
          <w:sz w:val="22"/>
          <w:szCs w:val="22"/>
        </w:rPr>
        <w:t>13–22, 34–47</w:t>
      </w:r>
      <w:r w:rsidR="009D79BD" w:rsidRPr="002F0CE2">
        <w:rPr>
          <w:sz w:val="22"/>
          <w:szCs w:val="22"/>
        </w:rPr>
        <w:t xml:space="preserve">, 51–62, 245–259, </w:t>
      </w:r>
      <w:r w:rsidR="008D537F">
        <w:rPr>
          <w:sz w:val="22"/>
          <w:szCs w:val="22"/>
        </w:rPr>
        <w:t>260–272, 303–317, and especially 318–327</w:t>
      </w:r>
      <w:r w:rsidR="009B5135" w:rsidRPr="002F0CE2">
        <w:rPr>
          <w:sz w:val="22"/>
          <w:szCs w:val="22"/>
        </w:rPr>
        <w:t>.</w:t>
      </w:r>
    </w:p>
    <w:p w14:paraId="0F7A37D0" w14:textId="77777777" w:rsidR="00F8526D" w:rsidRPr="002F0CE2" w:rsidRDefault="00F8526D" w:rsidP="0093283E">
      <w:pPr>
        <w:rPr>
          <w:sz w:val="22"/>
          <w:szCs w:val="22"/>
        </w:rPr>
      </w:pPr>
    </w:p>
    <w:p w14:paraId="2DC716AE" w14:textId="259F4D85" w:rsidR="006B4790" w:rsidRPr="002F0CE2" w:rsidRDefault="00523A07" w:rsidP="00523A07">
      <w:pPr>
        <w:rPr>
          <w:sz w:val="22"/>
          <w:szCs w:val="22"/>
        </w:rPr>
      </w:pPr>
      <w:r w:rsidRPr="002F0CE2">
        <w:rPr>
          <w:b/>
          <w:sz w:val="22"/>
          <w:szCs w:val="22"/>
        </w:rPr>
        <w:t xml:space="preserve">Oct. 19 – </w:t>
      </w:r>
      <w:r w:rsidR="00772614" w:rsidRPr="002F0CE2">
        <w:rPr>
          <w:b/>
          <w:bCs/>
          <w:sz w:val="22"/>
          <w:szCs w:val="22"/>
        </w:rPr>
        <w:t xml:space="preserve">Theories of </w:t>
      </w:r>
      <w:r w:rsidR="00772614" w:rsidRPr="002F0CE2">
        <w:rPr>
          <w:b/>
          <w:bCs/>
          <w:i/>
          <w:iCs/>
          <w:sz w:val="22"/>
          <w:szCs w:val="22"/>
        </w:rPr>
        <w:t>f</w:t>
      </w:r>
      <w:r w:rsidR="006B4790" w:rsidRPr="002F0CE2">
        <w:rPr>
          <w:b/>
          <w:bCs/>
          <w:i/>
          <w:iCs/>
          <w:sz w:val="22"/>
          <w:szCs w:val="22"/>
        </w:rPr>
        <w:t>in-de-siècle</w:t>
      </w:r>
      <w:r w:rsidR="00772614" w:rsidRPr="002F0CE2">
        <w:rPr>
          <w:b/>
          <w:bCs/>
          <w:sz w:val="22"/>
          <w:szCs w:val="22"/>
        </w:rPr>
        <w:t xml:space="preserve"> antisemitism</w:t>
      </w:r>
    </w:p>
    <w:p w14:paraId="37A08101" w14:textId="3FFA71F1" w:rsidR="00F8526D" w:rsidRPr="002F0CE2" w:rsidRDefault="00F8526D" w:rsidP="00F8526D">
      <w:pPr>
        <w:ind w:left="720" w:hanging="720"/>
        <w:rPr>
          <w:sz w:val="22"/>
          <w:szCs w:val="22"/>
        </w:rPr>
      </w:pPr>
      <w:r w:rsidRPr="002F0CE2">
        <w:rPr>
          <w:sz w:val="22"/>
          <w:szCs w:val="22"/>
        </w:rPr>
        <w:t xml:space="preserve">Shulamit Volkov, “Antisemitism as a Cultural Code: Reflections on the History and Historiography of Antisemitism in Imperial Germany,” </w:t>
      </w:r>
      <w:r w:rsidRPr="002F0CE2">
        <w:rPr>
          <w:i/>
          <w:iCs/>
          <w:sz w:val="22"/>
          <w:szCs w:val="22"/>
        </w:rPr>
        <w:t>Leo Baeck Institute Yearbook</w:t>
      </w:r>
      <w:r w:rsidRPr="002F0CE2">
        <w:rPr>
          <w:sz w:val="22"/>
          <w:szCs w:val="22"/>
        </w:rPr>
        <w:t xml:space="preserve"> 23, no. 1 (1978): 25–46.</w:t>
      </w:r>
    </w:p>
    <w:p w14:paraId="37DE994F" w14:textId="05F2025F" w:rsidR="006B4790" w:rsidRPr="002F0CE2" w:rsidRDefault="006B08D5" w:rsidP="006B4790">
      <w:pPr>
        <w:ind w:left="720" w:hanging="720"/>
        <w:rPr>
          <w:rFonts w:asciiTheme="majorBidi" w:hAnsiTheme="majorBidi" w:cstheme="majorBidi"/>
          <w:color w:val="000000"/>
          <w:sz w:val="22"/>
          <w:szCs w:val="22"/>
        </w:rPr>
      </w:pPr>
      <w:r w:rsidRPr="002F0CE2">
        <w:rPr>
          <w:rFonts w:asciiTheme="majorBidi" w:hAnsiTheme="majorBidi" w:cstheme="majorBidi"/>
          <w:color w:val="000000"/>
          <w:sz w:val="22"/>
          <w:szCs w:val="22"/>
        </w:rPr>
        <w:t>Chad Alan Goldberg, i</w:t>
      </w:r>
      <w:r w:rsidR="006B4790" w:rsidRPr="002F0CE2">
        <w:rPr>
          <w:rFonts w:asciiTheme="majorBidi" w:hAnsiTheme="majorBidi" w:cstheme="majorBidi"/>
          <w:color w:val="000000"/>
          <w:sz w:val="22"/>
          <w:szCs w:val="22"/>
        </w:rPr>
        <w:t xml:space="preserve">ntroduction to and translation of Émile Durkheim’s “Antisémitisme et crise sociale,” </w:t>
      </w:r>
      <w:r w:rsidR="006B4790" w:rsidRPr="002F0CE2">
        <w:rPr>
          <w:rFonts w:asciiTheme="majorBidi" w:hAnsiTheme="majorBidi" w:cstheme="majorBidi"/>
          <w:i/>
          <w:iCs/>
          <w:color w:val="000000"/>
          <w:sz w:val="22"/>
          <w:szCs w:val="22"/>
        </w:rPr>
        <w:t>Sociological Theory</w:t>
      </w:r>
      <w:r w:rsidR="006B4790" w:rsidRPr="002F0CE2">
        <w:rPr>
          <w:rFonts w:asciiTheme="majorBidi" w:hAnsiTheme="majorBidi" w:cstheme="majorBidi"/>
          <w:color w:val="000000"/>
          <w:sz w:val="22"/>
          <w:szCs w:val="22"/>
        </w:rPr>
        <w:t xml:space="preserve"> 26, no. 4 (Dec. 2008): 299–314, 321–323 (the rest is recommended).</w:t>
      </w:r>
    </w:p>
    <w:p w14:paraId="10C15E79" w14:textId="0B97B87E" w:rsidR="00772614" w:rsidRPr="002F0CE2" w:rsidRDefault="00772614" w:rsidP="00772614">
      <w:pPr>
        <w:widowControl w:val="0"/>
        <w:autoSpaceDE w:val="0"/>
        <w:autoSpaceDN w:val="0"/>
        <w:adjustRightInd w:val="0"/>
        <w:ind w:left="720" w:hanging="720"/>
        <w:outlineLvl w:val="0"/>
        <w:rPr>
          <w:rFonts w:asciiTheme="majorBidi" w:hAnsiTheme="majorBidi" w:cstheme="majorBidi"/>
          <w:color w:val="000000"/>
          <w:sz w:val="22"/>
          <w:szCs w:val="22"/>
        </w:rPr>
      </w:pPr>
      <w:r w:rsidRPr="002F0CE2">
        <w:rPr>
          <w:rFonts w:asciiTheme="majorBidi" w:hAnsiTheme="majorBidi" w:cstheme="majorBidi"/>
          <w:color w:val="000000"/>
          <w:sz w:val="22"/>
          <w:szCs w:val="22"/>
        </w:rPr>
        <w:t xml:space="preserve">William I. Brustein and Ryan D. King, “Anti-Semitism in Europe before the Holocaust,” </w:t>
      </w:r>
      <w:r w:rsidRPr="002F0CE2">
        <w:rPr>
          <w:rFonts w:asciiTheme="majorBidi" w:hAnsiTheme="majorBidi" w:cstheme="majorBidi"/>
          <w:i/>
          <w:iCs/>
          <w:color w:val="000000"/>
          <w:sz w:val="22"/>
          <w:szCs w:val="22"/>
        </w:rPr>
        <w:t>International Political Science Review</w:t>
      </w:r>
      <w:r w:rsidR="00E97523">
        <w:rPr>
          <w:rFonts w:asciiTheme="majorBidi" w:hAnsiTheme="majorBidi" w:cstheme="majorBidi"/>
          <w:color w:val="000000"/>
          <w:sz w:val="22"/>
          <w:szCs w:val="22"/>
        </w:rPr>
        <w:t xml:space="preserve"> 25, no. 1 (Jan. 2004): 35–</w:t>
      </w:r>
      <w:r w:rsidRPr="002F0CE2">
        <w:rPr>
          <w:rFonts w:asciiTheme="majorBidi" w:hAnsiTheme="majorBidi" w:cstheme="majorBidi"/>
          <w:color w:val="000000"/>
          <w:sz w:val="22"/>
          <w:szCs w:val="22"/>
        </w:rPr>
        <w:t>53.</w:t>
      </w:r>
    </w:p>
    <w:p w14:paraId="0882CC4B" w14:textId="77777777" w:rsidR="00772614" w:rsidRPr="002F0CE2" w:rsidRDefault="00772614" w:rsidP="00772614">
      <w:pPr>
        <w:ind w:left="720" w:hanging="720"/>
        <w:rPr>
          <w:sz w:val="20"/>
        </w:rPr>
      </w:pPr>
    </w:p>
    <w:p w14:paraId="7644B7BD" w14:textId="77777777" w:rsidR="00DD6EFB" w:rsidRPr="002F0CE2" w:rsidRDefault="006B4790" w:rsidP="006B4790">
      <w:pPr>
        <w:ind w:left="720" w:hanging="720"/>
        <w:rPr>
          <w:rFonts w:asciiTheme="majorBidi" w:hAnsiTheme="majorBidi" w:cstheme="majorBidi"/>
          <w:sz w:val="20"/>
        </w:rPr>
      </w:pPr>
      <w:r w:rsidRPr="002F0CE2">
        <w:rPr>
          <w:rFonts w:asciiTheme="majorBidi" w:hAnsiTheme="majorBidi" w:cstheme="majorBidi"/>
          <w:sz w:val="20"/>
          <w:u w:val="single"/>
        </w:rPr>
        <w:lastRenderedPageBreak/>
        <w:t>Recommended</w:t>
      </w:r>
      <w:r w:rsidR="00DD6EFB" w:rsidRPr="002F0CE2">
        <w:rPr>
          <w:rFonts w:asciiTheme="majorBidi" w:hAnsiTheme="majorBidi" w:cstheme="majorBidi"/>
          <w:sz w:val="20"/>
        </w:rPr>
        <w:t>:</w:t>
      </w:r>
    </w:p>
    <w:p w14:paraId="157DEC5A" w14:textId="5275DD7B" w:rsidR="00523A07" w:rsidRPr="002F0CE2" w:rsidRDefault="00523A07" w:rsidP="00BE4E96">
      <w:pPr>
        <w:ind w:left="720" w:hanging="720"/>
        <w:rPr>
          <w:rFonts w:asciiTheme="majorBidi" w:hAnsiTheme="majorBidi" w:cstheme="majorBidi"/>
          <w:sz w:val="20"/>
        </w:rPr>
      </w:pPr>
      <w:r w:rsidRPr="002F0CE2">
        <w:rPr>
          <w:rFonts w:asciiTheme="majorBidi" w:hAnsiTheme="majorBidi" w:cstheme="majorBidi"/>
          <w:sz w:val="20"/>
        </w:rPr>
        <w:t xml:space="preserve">William Brustein, </w:t>
      </w:r>
      <w:hyperlink r:id="rId21" w:history="1">
        <w:r w:rsidRPr="00ED3E70">
          <w:rPr>
            <w:rStyle w:val="Hyperlink"/>
            <w:rFonts w:asciiTheme="majorBidi" w:hAnsiTheme="majorBidi" w:cstheme="majorBidi"/>
            <w:i/>
            <w:iCs/>
            <w:sz w:val="20"/>
          </w:rPr>
          <w:t>Roots of Hate: Anti-Semitism in Europe Before the Holocaust</w:t>
        </w:r>
      </w:hyperlink>
      <w:r w:rsidRPr="002F0CE2">
        <w:rPr>
          <w:rFonts w:asciiTheme="majorBidi" w:hAnsiTheme="majorBidi" w:cstheme="majorBidi"/>
          <w:sz w:val="20"/>
        </w:rPr>
        <w:t xml:space="preserve"> (New York: Cambridge, 2003).</w:t>
      </w:r>
    </w:p>
    <w:p w14:paraId="4A58B762" w14:textId="0EBE908D" w:rsidR="00DD6EFB" w:rsidRPr="002F0CE2" w:rsidRDefault="00DD6EFB" w:rsidP="00BE4E96">
      <w:pPr>
        <w:ind w:left="720" w:hanging="720"/>
        <w:rPr>
          <w:rFonts w:asciiTheme="majorBidi" w:hAnsiTheme="majorBidi" w:cstheme="majorBidi"/>
          <w:sz w:val="20"/>
        </w:rPr>
      </w:pPr>
      <w:r w:rsidRPr="002F0CE2">
        <w:rPr>
          <w:rFonts w:asciiTheme="majorBidi" w:hAnsiTheme="majorBidi" w:cstheme="majorBidi"/>
          <w:sz w:val="20"/>
        </w:rPr>
        <w:t xml:space="preserve">Jeffrey C. Alexander, “The Jewish Question,” in </w:t>
      </w:r>
      <w:hyperlink r:id="rId22" w:history="1">
        <w:r w:rsidRPr="00033B15">
          <w:rPr>
            <w:rStyle w:val="Hyperlink"/>
            <w:rFonts w:asciiTheme="majorBidi" w:hAnsiTheme="majorBidi" w:cstheme="majorBidi"/>
            <w:i/>
            <w:iCs/>
            <w:sz w:val="20"/>
          </w:rPr>
          <w:t>The Civil Sphere</w:t>
        </w:r>
      </w:hyperlink>
      <w:r w:rsidRPr="002F0CE2">
        <w:rPr>
          <w:rFonts w:asciiTheme="majorBidi" w:hAnsiTheme="majorBidi" w:cstheme="majorBidi"/>
          <w:sz w:val="20"/>
        </w:rPr>
        <w:t xml:space="preserve"> (New York: Oxford, 2006), 459–502.</w:t>
      </w:r>
    </w:p>
    <w:p w14:paraId="77036B38" w14:textId="4549CE2A" w:rsidR="006B4790" w:rsidRPr="002F0CE2" w:rsidRDefault="006B4790" w:rsidP="006B4790">
      <w:pPr>
        <w:ind w:left="720" w:hanging="720"/>
        <w:rPr>
          <w:rFonts w:asciiTheme="majorBidi" w:hAnsiTheme="majorBidi" w:cstheme="majorBidi"/>
          <w:sz w:val="20"/>
        </w:rPr>
      </w:pPr>
      <w:r w:rsidRPr="002F0CE2">
        <w:rPr>
          <w:rFonts w:asciiTheme="majorBidi" w:hAnsiTheme="majorBidi" w:cstheme="majorBidi"/>
          <w:sz w:val="20"/>
        </w:rPr>
        <w:t xml:space="preserve">Chad Alan Goldberg, “The Jews, the Revolution, and the Old Regime in French Anti-Semitism and Durkheim’s Sociology,” </w:t>
      </w:r>
      <w:r w:rsidRPr="002F0CE2">
        <w:rPr>
          <w:rFonts w:asciiTheme="majorBidi" w:hAnsiTheme="majorBidi" w:cstheme="majorBidi"/>
          <w:i/>
          <w:iCs/>
          <w:sz w:val="20"/>
        </w:rPr>
        <w:t>Sociological Theory</w:t>
      </w:r>
      <w:r w:rsidRPr="002F0CE2">
        <w:rPr>
          <w:rFonts w:asciiTheme="majorBidi" w:hAnsiTheme="majorBidi" w:cstheme="majorBidi"/>
          <w:sz w:val="20"/>
        </w:rPr>
        <w:t xml:space="preserve"> 29, no. 4 (Dec. 2011): 248–271.</w:t>
      </w:r>
    </w:p>
    <w:p w14:paraId="4D32B1FB" w14:textId="46376960" w:rsidR="00DD6EFB" w:rsidRPr="002F0CE2" w:rsidRDefault="00DD6EFB" w:rsidP="008E6C90">
      <w:pPr>
        <w:ind w:left="720" w:hanging="720"/>
        <w:rPr>
          <w:sz w:val="20"/>
        </w:rPr>
      </w:pPr>
      <w:r w:rsidRPr="002F0CE2">
        <w:rPr>
          <w:sz w:val="20"/>
        </w:rPr>
        <w:t xml:space="preserve">Nirenberg, “Modernity Thinks with Judaism,” </w:t>
      </w:r>
      <w:r w:rsidRPr="002F0CE2">
        <w:rPr>
          <w:i/>
          <w:iCs/>
          <w:sz w:val="20"/>
        </w:rPr>
        <w:t>Anti-Judaism</w:t>
      </w:r>
      <w:r w:rsidR="008E6C90" w:rsidRPr="002F0CE2">
        <w:rPr>
          <w:sz w:val="20"/>
        </w:rPr>
        <w:t>, 423–459.</w:t>
      </w:r>
    </w:p>
    <w:p w14:paraId="6FC536F2" w14:textId="4198AA34" w:rsidR="007E70A6" w:rsidRPr="002F0CE2" w:rsidRDefault="007E70A6" w:rsidP="007E70A6">
      <w:pPr>
        <w:ind w:left="720" w:hanging="720"/>
        <w:rPr>
          <w:sz w:val="20"/>
        </w:rPr>
      </w:pPr>
      <w:r w:rsidRPr="002F0CE2">
        <w:rPr>
          <w:sz w:val="20"/>
        </w:rPr>
        <w:t xml:space="preserve">Chad Alan Goldberg, “The German Tradition: Capitalism and the Jews,” in </w:t>
      </w:r>
      <w:hyperlink r:id="rId23" w:history="1">
        <w:r w:rsidRPr="0099519A">
          <w:rPr>
            <w:rStyle w:val="Hyperlink"/>
            <w:i/>
            <w:iCs/>
            <w:sz w:val="20"/>
          </w:rPr>
          <w:t>Modernity and the Jews in Western Social Thought</w:t>
        </w:r>
      </w:hyperlink>
      <w:r w:rsidRPr="002F0CE2">
        <w:rPr>
          <w:sz w:val="20"/>
        </w:rPr>
        <w:t xml:space="preserve"> (University of Chicago Press, 2017), 43–75.</w:t>
      </w:r>
    </w:p>
    <w:p w14:paraId="3EE90326" w14:textId="77777777" w:rsidR="00F2536D" w:rsidRPr="002F0CE2" w:rsidRDefault="00F2536D" w:rsidP="002D4429">
      <w:pPr>
        <w:rPr>
          <w:rFonts w:asciiTheme="majorBidi" w:hAnsiTheme="majorBidi" w:cstheme="majorBidi"/>
          <w:sz w:val="22"/>
          <w:szCs w:val="22"/>
        </w:rPr>
      </w:pPr>
    </w:p>
    <w:p w14:paraId="09A6760F" w14:textId="0CEF3A86" w:rsidR="008111AD" w:rsidRPr="002F0CE2" w:rsidRDefault="00523A07" w:rsidP="00CA5232">
      <w:pPr>
        <w:rPr>
          <w:rFonts w:asciiTheme="majorBidi" w:hAnsiTheme="majorBidi" w:cstheme="majorBidi"/>
          <w:b/>
          <w:bCs/>
          <w:color w:val="000000"/>
          <w:sz w:val="22"/>
          <w:szCs w:val="22"/>
        </w:rPr>
      </w:pPr>
      <w:r w:rsidRPr="002F0CE2">
        <w:rPr>
          <w:b/>
          <w:sz w:val="22"/>
          <w:szCs w:val="22"/>
        </w:rPr>
        <w:t xml:space="preserve">Oct. 24 – </w:t>
      </w:r>
      <w:r w:rsidR="008111AD" w:rsidRPr="002F0CE2">
        <w:rPr>
          <w:rFonts w:asciiTheme="majorBidi" w:hAnsiTheme="majorBidi" w:cstheme="majorBidi"/>
          <w:b/>
          <w:bCs/>
          <w:color w:val="000000"/>
          <w:sz w:val="22"/>
          <w:szCs w:val="22"/>
        </w:rPr>
        <w:t xml:space="preserve">Antisemitism in </w:t>
      </w:r>
      <w:r w:rsidR="00385E09" w:rsidRPr="002F0CE2">
        <w:rPr>
          <w:rFonts w:asciiTheme="majorBidi" w:hAnsiTheme="majorBidi" w:cstheme="majorBidi"/>
          <w:b/>
          <w:bCs/>
          <w:color w:val="000000"/>
          <w:sz w:val="22"/>
          <w:szCs w:val="22"/>
        </w:rPr>
        <w:t xml:space="preserve">the </w:t>
      </w:r>
      <w:r w:rsidR="008111AD" w:rsidRPr="002F0CE2">
        <w:rPr>
          <w:rFonts w:asciiTheme="majorBidi" w:hAnsiTheme="majorBidi" w:cstheme="majorBidi"/>
          <w:b/>
          <w:bCs/>
          <w:color w:val="000000"/>
          <w:sz w:val="22"/>
          <w:szCs w:val="22"/>
        </w:rPr>
        <w:t>Russia</w:t>
      </w:r>
      <w:r w:rsidR="00CA5232">
        <w:rPr>
          <w:rFonts w:asciiTheme="majorBidi" w:hAnsiTheme="majorBidi" w:cstheme="majorBidi"/>
          <w:b/>
          <w:bCs/>
          <w:color w:val="000000"/>
          <w:sz w:val="22"/>
          <w:szCs w:val="22"/>
        </w:rPr>
        <w:t xml:space="preserve"> Empire</w:t>
      </w:r>
    </w:p>
    <w:p w14:paraId="10C1D75F" w14:textId="65444AE2" w:rsidR="00F835BD" w:rsidRPr="00F835BD" w:rsidRDefault="00F835BD" w:rsidP="00C80540">
      <w:pPr>
        <w:rPr>
          <w:b/>
          <w:bCs/>
          <w:color w:val="FF0000"/>
          <w:sz w:val="22"/>
          <w:szCs w:val="22"/>
        </w:rPr>
      </w:pPr>
      <w:r w:rsidRPr="00F835BD">
        <w:rPr>
          <w:b/>
          <w:bCs/>
          <w:color w:val="FF0000"/>
          <w:sz w:val="22"/>
          <w:szCs w:val="22"/>
        </w:rPr>
        <w:t xml:space="preserve">Midterm paper </w:t>
      </w:r>
      <w:r w:rsidR="00C80540">
        <w:rPr>
          <w:b/>
          <w:bCs/>
          <w:color w:val="FF0000"/>
          <w:sz w:val="22"/>
          <w:szCs w:val="22"/>
        </w:rPr>
        <w:t>due (1,000 to 1,700 words)</w:t>
      </w:r>
    </w:p>
    <w:p w14:paraId="520BD8DE" w14:textId="1585E13E" w:rsidR="008111AD" w:rsidRPr="002F0CE2" w:rsidRDefault="008111AD" w:rsidP="00CA5232">
      <w:pPr>
        <w:ind w:left="720" w:hanging="720"/>
        <w:rPr>
          <w:rFonts w:asciiTheme="majorBidi" w:hAnsiTheme="majorBidi" w:cstheme="majorBidi"/>
          <w:sz w:val="22"/>
          <w:szCs w:val="22"/>
        </w:rPr>
      </w:pPr>
      <w:r w:rsidRPr="002F0CE2">
        <w:rPr>
          <w:rFonts w:asciiTheme="majorBidi" w:hAnsiTheme="majorBidi" w:cstheme="majorBidi"/>
          <w:sz w:val="22"/>
          <w:szCs w:val="22"/>
        </w:rPr>
        <w:t xml:space="preserve">Heinz-Dietrich Löwe, “Antisemitism in Russia and the Soviet Union,” in </w:t>
      </w:r>
      <w:hyperlink r:id="rId24" w:history="1">
        <w:r w:rsidRPr="003F722A">
          <w:rPr>
            <w:rStyle w:val="Hyperlink"/>
            <w:rFonts w:asciiTheme="majorBidi" w:hAnsiTheme="majorBidi" w:cstheme="majorBidi"/>
            <w:i/>
            <w:iCs/>
            <w:sz w:val="22"/>
            <w:szCs w:val="22"/>
          </w:rPr>
          <w:t>Antisemitism: A History</w:t>
        </w:r>
      </w:hyperlink>
      <w:r w:rsidRPr="002F0CE2">
        <w:rPr>
          <w:rFonts w:asciiTheme="majorBidi" w:hAnsiTheme="majorBidi" w:cstheme="majorBidi"/>
          <w:sz w:val="22"/>
          <w:szCs w:val="22"/>
        </w:rPr>
        <w:t>, eds. Albert S. Lindemann and Richard S. Levy (New York: Oxford Un</w:t>
      </w:r>
      <w:r w:rsidR="00440BA8" w:rsidRPr="002F0CE2">
        <w:rPr>
          <w:rFonts w:asciiTheme="majorBidi" w:hAnsiTheme="majorBidi" w:cstheme="majorBidi"/>
          <w:sz w:val="22"/>
          <w:szCs w:val="22"/>
        </w:rPr>
        <w:t xml:space="preserve">iversity Press, 2010), </w:t>
      </w:r>
      <w:r w:rsidR="00CA5232" w:rsidRPr="00CA5232">
        <w:rPr>
          <w:rFonts w:asciiTheme="majorBidi" w:hAnsiTheme="majorBidi" w:cstheme="majorBidi"/>
          <w:sz w:val="22"/>
          <w:szCs w:val="22"/>
        </w:rPr>
        <w:t>166–179</w:t>
      </w:r>
      <w:r w:rsidR="00440BA8" w:rsidRPr="002F0CE2">
        <w:rPr>
          <w:rFonts w:asciiTheme="majorBidi" w:hAnsiTheme="majorBidi" w:cstheme="majorBidi"/>
          <w:sz w:val="22"/>
          <w:szCs w:val="22"/>
        </w:rPr>
        <w:t>.</w:t>
      </w:r>
    </w:p>
    <w:p w14:paraId="2B8B9810" w14:textId="59EEE816" w:rsidR="008111AD" w:rsidRPr="002F0CE2" w:rsidRDefault="001A122B" w:rsidP="00BE4E96">
      <w:pPr>
        <w:ind w:left="720" w:hanging="720"/>
        <w:rPr>
          <w:sz w:val="22"/>
          <w:szCs w:val="22"/>
        </w:rPr>
      </w:pPr>
      <w:r>
        <w:rPr>
          <w:i/>
          <w:iCs/>
          <w:sz w:val="22"/>
          <w:szCs w:val="22"/>
        </w:rPr>
        <w:t xml:space="preserve">The </w:t>
      </w:r>
      <w:r w:rsidR="008111AD" w:rsidRPr="002F0CE2">
        <w:rPr>
          <w:i/>
          <w:iCs/>
          <w:sz w:val="22"/>
          <w:szCs w:val="22"/>
        </w:rPr>
        <w:t>Protocols of the Elders of Zion</w:t>
      </w:r>
      <w:r w:rsidR="008111AD" w:rsidRPr="002F0CE2">
        <w:rPr>
          <w:sz w:val="22"/>
          <w:szCs w:val="22"/>
        </w:rPr>
        <w:t xml:space="preserve">, in </w:t>
      </w:r>
      <w:r w:rsidR="008111AD" w:rsidRPr="002F0CE2">
        <w:rPr>
          <w:i/>
          <w:iCs/>
          <w:sz w:val="22"/>
          <w:szCs w:val="22"/>
        </w:rPr>
        <w:t>Antisemitic Myths: A Historical and Contemporary Anthology</w:t>
      </w:r>
      <w:r w:rsidR="008111AD" w:rsidRPr="002F0CE2">
        <w:rPr>
          <w:sz w:val="22"/>
          <w:szCs w:val="22"/>
        </w:rPr>
        <w:t xml:space="preserve">, eds. </w:t>
      </w:r>
      <w:r w:rsidR="00BE4E96">
        <w:rPr>
          <w:sz w:val="22"/>
          <w:szCs w:val="22"/>
        </w:rPr>
        <w:t>M.</w:t>
      </w:r>
      <w:r w:rsidR="008111AD" w:rsidRPr="002F0CE2">
        <w:rPr>
          <w:sz w:val="22"/>
          <w:szCs w:val="22"/>
        </w:rPr>
        <w:t xml:space="preserve"> Perry and </w:t>
      </w:r>
      <w:r w:rsidR="00BE4E96">
        <w:rPr>
          <w:sz w:val="22"/>
          <w:szCs w:val="22"/>
        </w:rPr>
        <w:t>F.</w:t>
      </w:r>
      <w:r w:rsidR="008111AD" w:rsidRPr="002F0CE2">
        <w:rPr>
          <w:sz w:val="22"/>
          <w:szCs w:val="22"/>
        </w:rPr>
        <w:t xml:space="preserve"> M. Schweitzer (Bloomington: Indiana University Press, 2008), 139–144.</w:t>
      </w:r>
    </w:p>
    <w:p w14:paraId="2555685E" w14:textId="1E65A1C8" w:rsidR="008111AD" w:rsidRPr="002F0CE2" w:rsidRDefault="008111AD" w:rsidP="003E7AD1">
      <w:pPr>
        <w:ind w:left="720" w:hanging="720"/>
        <w:rPr>
          <w:rFonts w:asciiTheme="majorBidi" w:hAnsiTheme="majorBidi" w:cstheme="majorBidi"/>
          <w:color w:val="000000"/>
          <w:sz w:val="22"/>
          <w:szCs w:val="22"/>
        </w:rPr>
      </w:pPr>
      <w:r w:rsidRPr="002F0CE2">
        <w:rPr>
          <w:rFonts w:asciiTheme="majorBidi" w:hAnsiTheme="majorBidi" w:cstheme="majorBidi"/>
          <w:color w:val="000000"/>
          <w:sz w:val="22"/>
          <w:szCs w:val="22"/>
        </w:rPr>
        <w:t xml:space="preserve">Jeffrey Veidlinger, </w:t>
      </w:r>
      <w:r w:rsidRPr="002F0CE2">
        <w:rPr>
          <w:rFonts w:asciiTheme="majorBidi" w:hAnsiTheme="majorBidi" w:cstheme="majorBidi"/>
          <w:i/>
          <w:iCs/>
          <w:color w:val="000000"/>
          <w:sz w:val="22"/>
          <w:szCs w:val="22"/>
        </w:rPr>
        <w:t>In the Midst of Civilized Europe: The 1918–1921 Pogroms in Ukraine and the Onset of the Holocaust</w:t>
      </w:r>
      <w:r w:rsidRPr="002F0CE2">
        <w:rPr>
          <w:rFonts w:asciiTheme="majorBidi" w:hAnsiTheme="majorBidi" w:cstheme="majorBidi"/>
          <w:color w:val="000000"/>
          <w:sz w:val="22"/>
          <w:szCs w:val="22"/>
        </w:rPr>
        <w:t xml:space="preserve"> (New York: Henry Holt, 2021), </w:t>
      </w:r>
      <w:r w:rsidR="00071D40" w:rsidRPr="002F0CE2">
        <w:rPr>
          <w:rFonts w:asciiTheme="majorBidi" w:hAnsiTheme="majorBidi" w:cstheme="majorBidi"/>
          <w:color w:val="000000"/>
          <w:sz w:val="22"/>
          <w:szCs w:val="22"/>
        </w:rPr>
        <w:t>1–</w:t>
      </w:r>
      <w:r w:rsidR="006C34C3" w:rsidRPr="002F0CE2">
        <w:rPr>
          <w:rFonts w:asciiTheme="majorBidi" w:hAnsiTheme="majorBidi" w:cstheme="majorBidi"/>
          <w:color w:val="000000"/>
          <w:sz w:val="22"/>
          <w:szCs w:val="22"/>
        </w:rPr>
        <w:t>18, 373</w:t>
      </w:r>
      <w:r w:rsidR="00440BA8" w:rsidRPr="002F0CE2">
        <w:rPr>
          <w:rFonts w:asciiTheme="majorBidi" w:hAnsiTheme="majorBidi" w:cstheme="majorBidi"/>
          <w:color w:val="000000"/>
          <w:sz w:val="22"/>
          <w:szCs w:val="22"/>
        </w:rPr>
        <w:t>–376.</w:t>
      </w:r>
    </w:p>
    <w:p w14:paraId="78C2E2C9" w14:textId="77777777" w:rsidR="00440BA8" w:rsidRPr="002F0CE2" w:rsidRDefault="00440BA8" w:rsidP="00A06959">
      <w:pPr>
        <w:ind w:left="720" w:hanging="720"/>
        <w:rPr>
          <w:sz w:val="20"/>
        </w:rPr>
      </w:pPr>
    </w:p>
    <w:p w14:paraId="45EE76B3" w14:textId="0B5157BB" w:rsidR="0085780F" w:rsidRDefault="00385E09" w:rsidP="00F340FF">
      <w:pPr>
        <w:ind w:left="720" w:hanging="720"/>
        <w:rPr>
          <w:sz w:val="20"/>
        </w:rPr>
      </w:pPr>
      <w:r w:rsidRPr="002F0CE2">
        <w:rPr>
          <w:sz w:val="20"/>
          <w:u w:val="single"/>
        </w:rPr>
        <w:t>Recommended</w:t>
      </w:r>
      <w:r w:rsidR="0085780F">
        <w:rPr>
          <w:sz w:val="20"/>
        </w:rPr>
        <w:t>:</w:t>
      </w:r>
      <w:r w:rsidR="0016558D">
        <w:rPr>
          <w:sz w:val="20"/>
        </w:rPr>
        <w:t xml:space="preserve"> </w:t>
      </w:r>
      <w:r w:rsidR="00BA48FE" w:rsidRPr="00BA48FE">
        <w:rPr>
          <w:sz w:val="20"/>
        </w:rPr>
        <w:t xml:space="preserve">Norman Cohn, </w:t>
      </w:r>
      <w:r w:rsidR="00BA48FE" w:rsidRPr="00BA48FE">
        <w:rPr>
          <w:i/>
          <w:iCs/>
          <w:sz w:val="20"/>
        </w:rPr>
        <w:t>Warrant for Genocide: The Myth of the Jewish World-Conspiracy and the Protocols of the Elders of Zion</w:t>
      </w:r>
      <w:r w:rsidR="00BA48FE" w:rsidRPr="00BA48FE">
        <w:rPr>
          <w:sz w:val="20"/>
        </w:rPr>
        <w:t xml:space="preserve"> (</w:t>
      </w:r>
      <w:r w:rsidR="00F340FF">
        <w:rPr>
          <w:sz w:val="20"/>
        </w:rPr>
        <w:t>London</w:t>
      </w:r>
      <w:r w:rsidR="00BA48FE" w:rsidRPr="00BA48FE">
        <w:rPr>
          <w:sz w:val="20"/>
        </w:rPr>
        <w:t xml:space="preserve">: </w:t>
      </w:r>
      <w:r w:rsidR="00F340FF">
        <w:rPr>
          <w:sz w:val="20"/>
        </w:rPr>
        <w:t xml:space="preserve">Eyre &amp; Spottiswoode, 1967), especially 15–19, </w:t>
      </w:r>
      <w:r w:rsidR="00870F5A">
        <w:rPr>
          <w:sz w:val="20"/>
        </w:rPr>
        <w:t>60–</w:t>
      </w:r>
      <w:r w:rsidR="00885349">
        <w:rPr>
          <w:sz w:val="20"/>
        </w:rPr>
        <w:t>76, 251–268.</w:t>
      </w:r>
    </w:p>
    <w:p w14:paraId="2FC262E6" w14:textId="77777777" w:rsidR="008111AD" w:rsidRPr="002F0CE2" w:rsidRDefault="008111AD" w:rsidP="002D4429">
      <w:pPr>
        <w:rPr>
          <w:rFonts w:asciiTheme="majorBidi" w:hAnsiTheme="majorBidi" w:cstheme="majorBidi"/>
          <w:sz w:val="22"/>
          <w:szCs w:val="22"/>
        </w:rPr>
      </w:pPr>
    </w:p>
    <w:p w14:paraId="589AF19F" w14:textId="6DA59304" w:rsidR="00523A07" w:rsidRPr="002F0CE2" w:rsidRDefault="00523A07" w:rsidP="00523A07">
      <w:pPr>
        <w:rPr>
          <w:b/>
          <w:sz w:val="22"/>
          <w:szCs w:val="22"/>
        </w:rPr>
      </w:pPr>
      <w:r w:rsidRPr="002F0CE2">
        <w:rPr>
          <w:b/>
          <w:sz w:val="22"/>
          <w:szCs w:val="22"/>
        </w:rPr>
        <w:t>Oct. 26 – Nazi antisemitism</w:t>
      </w:r>
    </w:p>
    <w:p w14:paraId="5AFE8917" w14:textId="46A3894E" w:rsidR="002D4429" w:rsidRPr="002F0CE2" w:rsidRDefault="002D4429" w:rsidP="004B19AE">
      <w:pPr>
        <w:rPr>
          <w:rFonts w:asciiTheme="majorBidi" w:hAnsiTheme="majorBidi" w:cstheme="majorBidi"/>
          <w:color w:val="000000"/>
          <w:sz w:val="22"/>
          <w:szCs w:val="22"/>
        </w:rPr>
      </w:pPr>
      <w:r w:rsidRPr="002F0CE2">
        <w:rPr>
          <w:rFonts w:asciiTheme="majorBidi" w:hAnsiTheme="majorBidi" w:cstheme="majorBidi"/>
          <w:color w:val="000000"/>
          <w:sz w:val="22"/>
          <w:szCs w:val="22"/>
        </w:rPr>
        <w:t xml:space="preserve">Beller, “Concatenations” and “Consequences,” </w:t>
      </w:r>
      <w:hyperlink r:id="rId25" w:history="1">
        <w:r w:rsidRPr="0082376B">
          <w:rPr>
            <w:rStyle w:val="Hyperlink"/>
            <w:rFonts w:asciiTheme="majorBidi" w:hAnsiTheme="majorBidi" w:cstheme="majorBidi"/>
            <w:i/>
            <w:iCs/>
            <w:sz w:val="22"/>
            <w:szCs w:val="22"/>
          </w:rPr>
          <w:t>Antisemitism</w:t>
        </w:r>
      </w:hyperlink>
      <w:r w:rsidRPr="002F0CE2">
        <w:rPr>
          <w:rFonts w:asciiTheme="majorBidi" w:hAnsiTheme="majorBidi" w:cstheme="majorBidi"/>
          <w:color w:val="000000"/>
          <w:sz w:val="22"/>
          <w:szCs w:val="22"/>
        </w:rPr>
        <w:t>, 74–99</w:t>
      </w:r>
      <w:r w:rsidR="004B19AE">
        <w:rPr>
          <w:rFonts w:asciiTheme="majorBidi" w:hAnsiTheme="majorBidi" w:cstheme="majorBidi"/>
          <w:color w:val="000000"/>
          <w:sz w:val="22"/>
          <w:szCs w:val="22"/>
        </w:rPr>
        <w:t>.</w:t>
      </w:r>
    </w:p>
    <w:p w14:paraId="56E8F08B" w14:textId="4ED33CFD" w:rsidR="006B4790" w:rsidRPr="002F0CE2" w:rsidRDefault="006B4790" w:rsidP="006B4790">
      <w:pPr>
        <w:ind w:left="720" w:hanging="720"/>
        <w:rPr>
          <w:rFonts w:asciiTheme="majorBidi" w:hAnsiTheme="majorBidi" w:cstheme="majorBidi"/>
          <w:sz w:val="22"/>
          <w:szCs w:val="22"/>
        </w:rPr>
      </w:pPr>
      <w:r w:rsidRPr="002F0CE2">
        <w:rPr>
          <w:rFonts w:asciiTheme="majorBidi" w:hAnsiTheme="majorBidi" w:cstheme="majorBidi"/>
          <w:sz w:val="22"/>
          <w:szCs w:val="22"/>
        </w:rPr>
        <w:t xml:space="preserve">Talcott Parsons, “The Sociology of Modern Anti-Semitism,” in </w:t>
      </w:r>
      <w:r w:rsidRPr="002F0CE2">
        <w:rPr>
          <w:rFonts w:asciiTheme="majorBidi" w:hAnsiTheme="majorBidi" w:cstheme="majorBidi"/>
          <w:i/>
          <w:iCs/>
          <w:sz w:val="22"/>
          <w:szCs w:val="22"/>
        </w:rPr>
        <w:t>Jews in a Gentile World: The Problem of Anti-Semitism</w:t>
      </w:r>
      <w:r w:rsidRPr="002F0CE2">
        <w:rPr>
          <w:rFonts w:asciiTheme="majorBidi" w:hAnsiTheme="majorBidi" w:cstheme="majorBidi"/>
          <w:sz w:val="22"/>
          <w:szCs w:val="22"/>
        </w:rPr>
        <w:t>, ed. Isacque Graeber (New York: Macmillan, 1942), 101–122.</w:t>
      </w:r>
    </w:p>
    <w:p w14:paraId="31568DFA" w14:textId="77777777" w:rsidR="00523A07" w:rsidRPr="002F0CE2" w:rsidRDefault="00523A07" w:rsidP="006B4790">
      <w:pPr>
        <w:ind w:left="720" w:hanging="720"/>
        <w:rPr>
          <w:rFonts w:asciiTheme="majorBidi" w:hAnsiTheme="majorBidi" w:cstheme="majorBidi"/>
          <w:sz w:val="20"/>
          <w:u w:val="single"/>
        </w:rPr>
      </w:pPr>
    </w:p>
    <w:p w14:paraId="4160F39D" w14:textId="46E591E6" w:rsidR="006B4790" w:rsidRPr="002F0CE2" w:rsidRDefault="006B4790" w:rsidP="00523A07">
      <w:pPr>
        <w:ind w:left="720" w:hanging="720"/>
        <w:rPr>
          <w:rFonts w:asciiTheme="majorBidi" w:hAnsiTheme="majorBidi" w:cstheme="majorBidi"/>
          <w:sz w:val="20"/>
        </w:rPr>
      </w:pPr>
      <w:r w:rsidRPr="002F0CE2">
        <w:rPr>
          <w:rFonts w:asciiTheme="majorBidi" w:hAnsiTheme="majorBidi" w:cstheme="majorBidi"/>
          <w:sz w:val="20"/>
          <w:u w:val="single"/>
        </w:rPr>
        <w:t>Recommended</w:t>
      </w:r>
      <w:r w:rsidR="000E3ECA" w:rsidRPr="002F0CE2">
        <w:rPr>
          <w:rFonts w:asciiTheme="majorBidi" w:hAnsiTheme="majorBidi" w:cstheme="majorBidi"/>
          <w:sz w:val="20"/>
        </w:rPr>
        <w:t>:</w:t>
      </w:r>
      <w:r w:rsidR="00523A07" w:rsidRPr="002F0CE2">
        <w:rPr>
          <w:rFonts w:asciiTheme="majorBidi" w:hAnsiTheme="majorBidi" w:cstheme="majorBidi"/>
          <w:sz w:val="20"/>
        </w:rPr>
        <w:t xml:space="preserve"> </w:t>
      </w:r>
      <w:r w:rsidRPr="002F0CE2">
        <w:rPr>
          <w:rFonts w:asciiTheme="majorBidi" w:hAnsiTheme="majorBidi" w:cstheme="majorBidi"/>
          <w:sz w:val="20"/>
        </w:rPr>
        <w:t xml:space="preserve">Talcott Parsons, “Postscript to ‘The Sociology of Modern Anti-Semitism,’” </w:t>
      </w:r>
      <w:r w:rsidRPr="002F0CE2">
        <w:rPr>
          <w:rFonts w:asciiTheme="majorBidi" w:hAnsiTheme="majorBidi" w:cstheme="majorBidi"/>
          <w:i/>
          <w:iCs/>
          <w:sz w:val="20"/>
        </w:rPr>
        <w:t>Contemporary Jewry</w:t>
      </w:r>
      <w:r w:rsidRPr="002F0CE2">
        <w:rPr>
          <w:rFonts w:asciiTheme="majorBidi" w:hAnsiTheme="majorBidi" w:cstheme="majorBidi"/>
          <w:sz w:val="20"/>
        </w:rPr>
        <w:t xml:space="preserve"> 5, no. 1 (Spring/Summer 1980): 31–38.</w:t>
      </w:r>
    </w:p>
    <w:p w14:paraId="15501559" w14:textId="77777777" w:rsidR="006B4790" w:rsidRPr="002F0CE2" w:rsidRDefault="006B4790" w:rsidP="006B4790">
      <w:pPr>
        <w:rPr>
          <w:sz w:val="22"/>
          <w:szCs w:val="22"/>
        </w:rPr>
      </w:pPr>
    </w:p>
    <w:p w14:paraId="6135D9D9" w14:textId="518FB1DA" w:rsidR="004D6F24" w:rsidRPr="002F0CE2" w:rsidRDefault="004D6F24" w:rsidP="004D6F24">
      <w:pPr>
        <w:rPr>
          <w:rFonts w:asciiTheme="majorBidi" w:hAnsiTheme="majorBidi" w:cstheme="majorBidi"/>
          <w:sz w:val="22"/>
          <w:szCs w:val="22"/>
        </w:rPr>
      </w:pPr>
      <w:r w:rsidRPr="002F0CE2">
        <w:rPr>
          <w:b/>
          <w:sz w:val="22"/>
          <w:szCs w:val="22"/>
        </w:rPr>
        <w:t>Oct. 31 – Redemptive antisemitism</w:t>
      </w:r>
    </w:p>
    <w:p w14:paraId="69F34221" w14:textId="18D78EB4" w:rsidR="004D6F24" w:rsidRPr="002F0CE2" w:rsidRDefault="004D6F24" w:rsidP="004D6F24">
      <w:pPr>
        <w:ind w:left="720" w:hanging="720"/>
        <w:rPr>
          <w:sz w:val="22"/>
          <w:szCs w:val="22"/>
        </w:rPr>
      </w:pPr>
      <w:r w:rsidRPr="002F0CE2">
        <w:rPr>
          <w:sz w:val="22"/>
          <w:szCs w:val="22"/>
        </w:rPr>
        <w:t xml:space="preserve">Saul Friedländer, “Redemptive Anti-Semitism,” chap. 3 in </w:t>
      </w:r>
      <w:r w:rsidRPr="002F0CE2">
        <w:rPr>
          <w:i/>
          <w:iCs/>
          <w:sz w:val="22"/>
          <w:szCs w:val="22"/>
        </w:rPr>
        <w:t>Nazi Germany and the Jews</w:t>
      </w:r>
      <w:r w:rsidRPr="002F0CE2">
        <w:rPr>
          <w:sz w:val="22"/>
          <w:szCs w:val="22"/>
        </w:rPr>
        <w:t xml:space="preserve">, Vol. 1: </w:t>
      </w:r>
      <w:r w:rsidRPr="002F0CE2">
        <w:rPr>
          <w:i/>
          <w:iCs/>
          <w:sz w:val="22"/>
          <w:szCs w:val="22"/>
        </w:rPr>
        <w:t>The Years of Persecution, 1933–1939</w:t>
      </w:r>
      <w:r w:rsidRPr="002F0CE2">
        <w:rPr>
          <w:sz w:val="22"/>
          <w:szCs w:val="22"/>
        </w:rPr>
        <w:t xml:space="preserve"> (New Y</w:t>
      </w:r>
      <w:r w:rsidR="00A06959" w:rsidRPr="002F0CE2">
        <w:rPr>
          <w:sz w:val="22"/>
          <w:szCs w:val="22"/>
        </w:rPr>
        <w:t>ork: Harper Collins, 1997), 73–</w:t>
      </w:r>
      <w:r w:rsidRPr="002F0CE2">
        <w:rPr>
          <w:sz w:val="22"/>
          <w:szCs w:val="22"/>
        </w:rPr>
        <w:t>112.</w:t>
      </w:r>
    </w:p>
    <w:p w14:paraId="343CE633" w14:textId="75A1252F" w:rsidR="004D6F24" w:rsidRPr="002F0CE2" w:rsidRDefault="007F2871" w:rsidP="00BE4E96">
      <w:pPr>
        <w:ind w:left="720" w:hanging="720"/>
        <w:rPr>
          <w:sz w:val="22"/>
          <w:szCs w:val="22"/>
        </w:rPr>
      </w:pPr>
      <w:r w:rsidRPr="002F0CE2">
        <w:rPr>
          <w:sz w:val="22"/>
          <w:szCs w:val="22"/>
        </w:rPr>
        <w:t xml:space="preserve">The Worldview of Adolf Hitler (“Why Are We Antisemites?” [1920] and </w:t>
      </w:r>
      <w:r w:rsidRPr="002F0CE2">
        <w:rPr>
          <w:i/>
          <w:iCs/>
          <w:sz w:val="22"/>
          <w:szCs w:val="22"/>
        </w:rPr>
        <w:t>Mein Kampf</w:t>
      </w:r>
      <w:r w:rsidRPr="002F0CE2">
        <w:rPr>
          <w:sz w:val="22"/>
          <w:szCs w:val="22"/>
        </w:rPr>
        <w:t xml:space="preserve"> [1924]) in </w:t>
      </w:r>
      <w:r w:rsidRPr="002F0CE2">
        <w:rPr>
          <w:i/>
          <w:iCs/>
          <w:sz w:val="22"/>
          <w:szCs w:val="22"/>
        </w:rPr>
        <w:t>Antisemitic Myths: A Historical and Contemporary Anthology</w:t>
      </w:r>
      <w:r w:rsidRPr="002F0CE2">
        <w:rPr>
          <w:sz w:val="22"/>
          <w:szCs w:val="22"/>
        </w:rPr>
        <w:t xml:space="preserve">, eds. </w:t>
      </w:r>
      <w:r w:rsidR="00BE4E96">
        <w:rPr>
          <w:sz w:val="22"/>
          <w:szCs w:val="22"/>
        </w:rPr>
        <w:t>M.</w:t>
      </w:r>
      <w:r w:rsidRPr="002F0CE2">
        <w:rPr>
          <w:sz w:val="22"/>
          <w:szCs w:val="22"/>
        </w:rPr>
        <w:t xml:space="preserve"> Perry and </w:t>
      </w:r>
      <w:r w:rsidR="00BE4E96">
        <w:rPr>
          <w:sz w:val="22"/>
          <w:szCs w:val="22"/>
        </w:rPr>
        <w:t>F.</w:t>
      </w:r>
      <w:r w:rsidRPr="002F0CE2">
        <w:rPr>
          <w:sz w:val="22"/>
          <w:szCs w:val="22"/>
        </w:rPr>
        <w:t xml:space="preserve"> M. Schweitzer (Bloomington: Indiana University Press, 2008), 161–173.</w:t>
      </w:r>
    </w:p>
    <w:p w14:paraId="1F57EFD2" w14:textId="77777777" w:rsidR="004D6F24" w:rsidRPr="00496A6A" w:rsidRDefault="004D6F24" w:rsidP="004D6F24">
      <w:pPr>
        <w:rPr>
          <w:rFonts w:asciiTheme="majorBidi" w:hAnsiTheme="majorBidi" w:cstheme="majorBidi"/>
          <w:sz w:val="20"/>
        </w:rPr>
      </w:pPr>
    </w:p>
    <w:p w14:paraId="25D024E9" w14:textId="720DF88C" w:rsidR="00496A6A" w:rsidRDefault="00496A6A" w:rsidP="00496A6A">
      <w:pPr>
        <w:ind w:left="720" w:hanging="720"/>
        <w:rPr>
          <w:rFonts w:asciiTheme="majorBidi" w:hAnsiTheme="majorBidi" w:cstheme="majorBidi"/>
          <w:sz w:val="20"/>
        </w:rPr>
      </w:pPr>
      <w:r w:rsidRPr="002F0CE2">
        <w:rPr>
          <w:rFonts w:asciiTheme="majorBidi" w:hAnsiTheme="majorBidi" w:cstheme="majorBidi"/>
          <w:sz w:val="20"/>
          <w:u w:val="single"/>
        </w:rPr>
        <w:t>Recommended</w:t>
      </w:r>
      <w:r w:rsidRPr="002F0CE2">
        <w:rPr>
          <w:rFonts w:asciiTheme="majorBidi" w:hAnsiTheme="majorBidi" w:cstheme="majorBidi"/>
          <w:sz w:val="20"/>
        </w:rPr>
        <w:t>:</w:t>
      </w:r>
      <w:r>
        <w:rPr>
          <w:rFonts w:asciiTheme="majorBidi" w:hAnsiTheme="majorBidi" w:cstheme="majorBidi"/>
          <w:sz w:val="20"/>
        </w:rPr>
        <w:t xml:space="preserve"> </w:t>
      </w:r>
      <w:r w:rsidRPr="00933BFC">
        <w:rPr>
          <w:rFonts w:asciiTheme="majorBidi" w:hAnsiTheme="majorBidi" w:cstheme="majorBidi"/>
          <w:sz w:val="20"/>
        </w:rPr>
        <w:t xml:space="preserve">George L. Mosse, </w:t>
      </w:r>
      <w:r w:rsidRPr="00933BFC">
        <w:rPr>
          <w:rFonts w:asciiTheme="majorBidi" w:hAnsiTheme="majorBidi" w:cstheme="majorBidi"/>
          <w:i/>
          <w:iCs/>
          <w:sz w:val="20"/>
        </w:rPr>
        <w:t>The Crisis of German Ideology: Intellectual Origins of the Third Reich</w:t>
      </w:r>
      <w:r w:rsidRPr="00933BFC">
        <w:rPr>
          <w:rFonts w:asciiTheme="majorBidi" w:hAnsiTheme="majorBidi" w:cstheme="majorBidi"/>
          <w:sz w:val="20"/>
        </w:rPr>
        <w:t xml:space="preserve"> (New York: Gross</w:t>
      </w:r>
      <w:r w:rsidR="00F62592">
        <w:rPr>
          <w:rFonts w:asciiTheme="majorBidi" w:hAnsiTheme="majorBidi" w:cstheme="majorBidi"/>
          <w:sz w:val="20"/>
        </w:rPr>
        <w:t>et and Dunlap, 1964), 1–10, 126–</w:t>
      </w:r>
      <w:r w:rsidRPr="00933BFC">
        <w:rPr>
          <w:rFonts w:asciiTheme="majorBidi" w:hAnsiTheme="majorBidi" w:cstheme="majorBidi"/>
          <w:sz w:val="20"/>
        </w:rPr>
        <w:t>145, 294–311.</w:t>
      </w:r>
    </w:p>
    <w:p w14:paraId="2B0FFA91" w14:textId="77777777" w:rsidR="00496A6A" w:rsidRDefault="00496A6A" w:rsidP="004D6F24">
      <w:pPr>
        <w:rPr>
          <w:rFonts w:asciiTheme="majorBidi" w:hAnsiTheme="majorBidi" w:cstheme="majorBidi"/>
          <w:sz w:val="22"/>
          <w:szCs w:val="22"/>
        </w:rPr>
      </w:pPr>
    </w:p>
    <w:p w14:paraId="3DCE1EBA" w14:textId="1525DCB6" w:rsidR="00F2536D" w:rsidRPr="002F0CE2" w:rsidRDefault="00D91455" w:rsidP="004D6F24">
      <w:pPr>
        <w:rPr>
          <w:rFonts w:asciiTheme="majorBidi" w:hAnsiTheme="majorBidi" w:cstheme="majorBidi"/>
          <w:sz w:val="22"/>
          <w:szCs w:val="22"/>
        </w:rPr>
      </w:pPr>
      <w:r w:rsidRPr="002F0CE2">
        <w:rPr>
          <w:b/>
          <w:sz w:val="22"/>
          <w:szCs w:val="22"/>
        </w:rPr>
        <w:t xml:space="preserve">Nov. 2 </w:t>
      </w:r>
      <w:r w:rsidR="00FB3FD3" w:rsidRPr="002F0CE2">
        <w:rPr>
          <w:b/>
          <w:sz w:val="22"/>
          <w:szCs w:val="22"/>
        </w:rPr>
        <w:t xml:space="preserve">– </w:t>
      </w:r>
      <w:r w:rsidR="004D6F24" w:rsidRPr="002F0CE2">
        <w:rPr>
          <w:rFonts w:asciiTheme="majorBidi" w:hAnsiTheme="majorBidi" w:cstheme="majorBidi"/>
          <w:b/>
          <w:bCs/>
          <w:sz w:val="22"/>
          <w:szCs w:val="22"/>
        </w:rPr>
        <w:t>The existentialist perspective on antisemitism</w:t>
      </w:r>
    </w:p>
    <w:p w14:paraId="48BD592F" w14:textId="77777777" w:rsidR="00E02616" w:rsidRDefault="0023755F" w:rsidP="001E0B3E">
      <w:pPr>
        <w:widowControl w:val="0"/>
        <w:autoSpaceDE w:val="0"/>
        <w:autoSpaceDN w:val="0"/>
        <w:adjustRightInd w:val="0"/>
        <w:ind w:left="720" w:hanging="720"/>
        <w:rPr>
          <w:rFonts w:asciiTheme="majorBidi" w:hAnsiTheme="majorBidi" w:cstheme="majorBidi"/>
          <w:color w:val="000000"/>
          <w:sz w:val="22"/>
          <w:szCs w:val="22"/>
        </w:rPr>
      </w:pPr>
      <w:r w:rsidRPr="002F0CE2">
        <w:rPr>
          <w:rFonts w:asciiTheme="majorBidi" w:hAnsiTheme="majorBidi" w:cstheme="majorBidi"/>
          <w:color w:val="000000"/>
          <w:sz w:val="22"/>
          <w:szCs w:val="22"/>
        </w:rPr>
        <w:t>Jean-Paul</w:t>
      </w:r>
      <w:r w:rsidR="001E0B3E">
        <w:rPr>
          <w:rFonts w:asciiTheme="majorBidi" w:hAnsiTheme="majorBidi" w:cstheme="majorBidi"/>
          <w:color w:val="000000"/>
          <w:sz w:val="22"/>
          <w:szCs w:val="22"/>
        </w:rPr>
        <w:t xml:space="preserve"> </w:t>
      </w:r>
      <w:r w:rsidR="001E0B3E" w:rsidRPr="002F0CE2">
        <w:rPr>
          <w:rFonts w:asciiTheme="majorBidi" w:hAnsiTheme="majorBidi" w:cstheme="majorBidi"/>
          <w:color w:val="000000"/>
          <w:sz w:val="22"/>
          <w:szCs w:val="22"/>
        </w:rPr>
        <w:t>Sartre</w:t>
      </w:r>
      <w:r w:rsidR="001E0B3E">
        <w:rPr>
          <w:rFonts w:asciiTheme="majorBidi" w:hAnsiTheme="majorBidi" w:cstheme="majorBidi"/>
          <w:color w:val="000000"/>
          <w:sz w:val="22"/>
          <w:szCs w:val="22"/>
        </w:rPr>
        <w:t>,</w:t>
      </w:r>
      <w:r w:rsidRPr="002F0CE2">
        <w:rPr>
          <w:rFonts w:asciiTheme="majorBidi" w:hAnsiTheme="majorBidi" w:cstheme="majorBidi"/>
          <w:color w:val="000000"/>
          <w:sz w:val="22"/>
          <w:szCs w:val="22"/>
        </w:rPr>
        <w:t xml:space="preserve"> </w:t>
      </w:r>
      <w:r w:rsidRPr="002F0CE2">
        <w:rPr>
          <w:rFonts w:asciiTheme="majorBidi" w:hAnsiTheme="majorBidi" w:cstheme="majorBidi"/>
          <w:i/>
          <w:iCs/>
          <w:color w:val="000000"/>
          <w:sz w:val="22"/>
          <w:szCs w:val="22"/>
        </w:rPr>
        <w:t>Anti-Semite and Jew</w:t>
      </w:r>
      <w:r w:rsidR="001E0B3E">
        <w:rPr>
          <w:rFonts w:asciiTheme="majorBidi" w:hAnsiTheme="majorBidi" w:cstheme="majorBidi"/>
          <w:color w:val="000000"/>
          <w:sz w:val="22"/>
          <w:szCs w:val="22"/>
        </w:rPr>
        <w:t>, trans. George J. Becker (</w:t>
      </w:r>
      <w:r w:rsidRPr="002F0CE2">
        <w:rPr>
          <w:rFonts w:asciiTheme="majorBidi" w:hAnsiTheme="majorBidi" w:cstheme="majorBidi"/>
          <w:color w:val="000000"/>
          <w:sz w:val="22"/>
          <w:szCs w:val="22"/>
        </w:rPr>
        <w:t>New York: Schocken</w:t>
      </w:r>
      <w:r w:rsidR="001E0B3E">
        <w:rPr>
          <w:rFonts w:asciiTheme="majorBidi" w:hAnsiTheme="majorBidi" w:cstheme="majorBidi"/>
          <w:color w:val="000000"/>
          <w:sz w:val="22"/>
          <w:szCs w:val="22"/>
        </w:rPr>
        <w:t xml:space="preserve">, [1948] 1976), </w:t>
      </w:r>
      <w:r w:rsidR="00E02616" w:rsidRPr="002F0CE2">
        <w:rPr>
          <w:rFonts w:asciiTheme="majorBidi" w:hAnsiTheme="majorBidi" w:cstheme="majorBidi"/>
          <w:color w:val="000000"/>
          <w:sz w:val="22"/>
          <w:szCs w:val="22"/>
        </w:rPr>
        <w:t>7–54</w:t>
      </w:r>
      <w:r w:rsidRPr="002F0CE2">
        <w:rPr>
          <w:rFonts w:asciiTheme="majorBidi" w:hAnsiTheme="majorBidi" w:cstheme="majorBidi"/>
          <w:color w:val="000000"/>
          <w:sz w:val="22"/>
          <w:szCs w:val="22"/>
        </w:rPr>
        <w:t>.</w:t>
      </w:r>
      <w:r w:rsidR="00E02616">
        <w:rPr>
          <w:rFonts w:asciiTheme="majorBidi" w:hAnsiTheme="majorBidi" w:cstheme="majorBidi"/>
          <w:color w:val="000000"/>
          <w:sz w:val="22"/>
          <w:szCs w:val="22"/>
        </w:rPr>
        <w:t xml:space="preserve"> The rest of the book is recommended.</w:t>
      </w:r>
    </w:p>
    <w:p w14:paraId="7828CBB1" w14:textId="77777777" w:rsidR="001C1299" w:rsidRPr="002F0CE2" w:rsidRDefault="001C1299" w:rsidP="001C1299">
      <w:pPr>
        <w:rPr>
          <w:sz w:val="22"/>
          <w:szCs w:val="22"/>
        </w:rPr>
      </w:pPr>
    </w:p>
    <w:p w14:paraId="273A0740" w14:textId="52FB369B" w:rsidR="00D91455" w:rsidRPr="002F0CE2" w:rsidRDefault="00D91455" w:rsidP="00D91455">
      <w:pPr>
        <w:rPr>
          <w:sz w:val="22"/>
          <w:szCs w:val="22"/>
        </w:rPr>
      </w:pPr>
      <w:r w:rsidRPr="002F0CE2">
        <w:rPr>
          <w:b/>
          <w:sz w:val="22"/>
          <w:szCs w:val="22"/>
        </w:rPr>
        <w:t>Nov. 7 – Enlightenment and antisemitism</w:t>
      </w:r>
    </w:p>
    <w:p w14:paraId="7834DEDE" w14:textId="78D18DB1" w:rsidR="00D91455" w:rsidRPr="002F0CE2" w:rsidRDefault="00D91455" w:rsidP="00995261">
      <w:pPr>
        <w:ind w:left="720" w:hanging="720"/>
        <w:rPr>
          <w:rFonts w:asciiTheme="majorBidi" w:hAnsiTheme="majorBidi" w:cstheme="majorBidi"/>
          <w:sz w:val="22"/>
          <w:szCs w:val="22"/>
        </w:rPr>
      </w:pPr>
      <w:r w:rsidRPr="002F0CE2">
        <w:rPr>
          <w:rFonts w:asciiTheme="majorBidi" w:hAnsiTheme="majorBidi" w:cstheme="majorBidi"/>
          <w:sz w:val="22"/>
          <w:szCs w:val="22"/>
        </w:rPr>
        <w:t xml:space="preserve">Max Horkheimer and Theodor W. Adorno, “Elements of Anti-Semitism,” in </w:t>
      </w:r>
      <w:hyperlink r:id="rId26" w:history="1">
        <w:r w:rsidRPr="00431206">
          <w:rPr>
            <w:rStyle w:val="Hyperlink"/>
            <w:rFonts w:asciiTheme="majorBidi" w:hAnsiTheme="majorBidi" w:cstheme="majorBidi"/>
            <w:i/>
            <w:iCs/>
            <w:sz w:val="22"/>
            <w:szCs w:val="22"/>
          </w:rPr>
          <w:t>Dialectic of Enlightenment</w:t>
        </w:r>
      </w:hyperlink>
      <w:r w:rsidRPr="002F0CE2">
        <w:rPr>
          <w:rFonts w:asciiTheme="majorBidi" w:hAnsiTheme="majorBidi" w:cstheme="majorBidi"/>
          <w:sz w:val="22"/>
          <w:szCs w:val="22"/>
        </w:rPr>
        <w:t xml:space="preserve">, </w:t>
      </w:r>
      <w:r w:rsidR="00995261" w:rsidRPr="00995261">
        <w:rPr>
          <w:rFonts w:asciiTheme="majorBidi" w:hAnsiTheme="majorBidi" w:cstheme="majorBidi"/>
          <w:sz w:val="22"/>
          <w:szCs w:val="22"/>
        </w:rPr>
        <w:t xml:space="preserve">trans. Edmund Jephcott </w:t>
      </w:r>
      <w:r w:rsidRPr="002F0CE2">
        <w:rPr>
          <w:rFonts w:asciiTheme="majorBidi" w:hAnsiTheme="majorBidi" w:cstheme="majorBidi"/>
          <w:sz w:val="22"/>
          <w:szCs w:val="22"/>
        </w:rPr>
        <w:t>(</w:t>
      </w:r>
      <w:r w:rsidR="00570D2A" w:rsidRPr="00570D2A">
        <w:rPr>
          <w:rFonts w:asciiTheme="majorBidi" w:hAnsiTheme="majorBidi" w:cstheme="majorBidi"/>
          <w:sz w:val="22"/>
          <w:szCs w:val="22"/>
        </w:rPr>
        <w:t xml:space="preserve">Stanford: Stanford University Press, </w:t>
      </w:r>
      <w:r w:rsidR="00A8448A">
        <w:rPr>
          <w:rFonts w:asciiTheme="majorBidi" w:hAnsiTheme="majorBidi" w:cstheme="majorBidi"/>
          <w:sz w:val="22"/>
          <w:szCs w:val="22"/>
        </w:rPr>
        <w:t>[1947</w:t>
      </w:r>
      <w:r w:rsidR="00570D2A">
        <w:rPr>
          <w:rFonts w:asciiTheme="majorBidi" w:hAnsiTheme="majorBidi" w:cstheme="majorBidi"/>
          <w:sz w:val="22"/>
          <w:szCs w:val="22"/>
        </w:rPr>
        <w:t xml:space="preserve">] </w:t>
      </w:r>
      <w:r w:rsidR="00570D2A" w:rsidRPr="00570D2A">
        <w:rPr>
          <w:rFonts w:asciiTheme="majorBidi" w:hAnsiTheme="majorBidi" w:cstheme="majorBidi"/>
          <w:sz w:val="22"/>
          <w:szCs w:val="22"/>
        </w:rPr>
        <w:t>2020</w:t>
      </w:r>
      <w:r w:rsidR="00570D2A">
        <w:rPr>
          <w:rFonts w:asciiTheme="majorBidi" w:hAnsiTheme="majorBidi" w:cstheme="majorBidi"/>
          <w:sz w:val="22"/>
          <w:szCs w:val="22"/>
        </w:rPr>
        <w:t xml:space="preserve">), </w:t>
      </w:r>
      <w:r w:rsidR="00570D2A" w:rsidRPr="00570D2A">
        <w:rPr>
          <w:rFonts w:asciiTheme="majorBidi" w:hAnsiTheme="majorBidi" w:cstheme="majorBidi"/>
          <w:sz w:val="22"/>
          <w:szCs w:val="22"/>
        </w:rPr>
        <w:t>137–172</w:t>
      </w:r>
      <w:r w:rsidRPr="002F0CE2">
        <w:rPr>
          <w:rFonts w:asciiTheme="majorBidi" w:hAnsiTheme="majorBidi" w:cstheme="majorBidi"/>
          <w:sz w:val="22"/>
          <w:szCs w:val="22"/>
        </w:rPr>
        <w:t>.</w:t>
      </w:r>
    </w:p>
    <w:p w14:paraId="1F56D978" w14:textId="77777777" w:rsidR="00D91455" w:rsidRPr="002F0CE2" w:rsidRDefault="00D91455" w:rsidP="00D91455">
      <w:pPr>
        <w:ind w:left="720" w:hanging="720"/>
        <w:rPr>
          <w:rFonts w:asciiTheme="majorBidi" w:hAnsiTheme="majorBidi" w:cstheme="majorBidi"/>
          <w:sz w:val="20"/>
        </w:rPr>
      </w:pPr>
    </w:p>
    <w:p w14:paraId="2CE67276" w14:textId="77777777" w:rsidR="002134EA" w:rsidRDefault="00D91455" w:rsidP="00617E4C">
      <w:pPr>
        <w:ind w:left="720" w:hanging="720"/>
        <w:rPr>
          <w:rFonts w:asciiTheme="majorBidi" w:hAnsiTheme="majorBidi" w:cstheme="majorBidi"/>
          <w:sz w:val="20"/>
        </w:rPr>
      </w:pPr>
      <w:r w:rsidRPr="002F0CE2">
        <w:rPr>
          <w:rFonts w:asciiTheme="majorBidi" w:hAnsiTheme="majorBidi" w:cstheme="majorBidi"/>
          <w:sz w:val="20"/>
          <w:u w:val="single"/>
        </w:rPr>
        <w:t>Recommended</w:t>
      </w:r>
      <w:r w:rsidR="002134EA">
        <w:rPr>
          <w:rFonts w:asciiTheme="majorBidi" w:hAnsiTheme="majorBidi" w:cstheme="majorBidi"/>
          <w:sz w:val="20"/>
        </w:rPr>
        <w:t>:</w:t>
      </w:r>
    </w:p>
    <w:p w14:paraId="61E19CF2" w14:textId="55065AD6" w:rsidR="00D91455" w:rsidRDefault="00D91455" w:rsidP="00A87168">
      <w:pPr>
        <w:ind w:left="720" w:hanging="720"/>
        <w:rPr>
          <w:rFonts w:asciiTheme="majorBidi" w:hAnsiTheme="majorBidi" w:cstheme="majorBidi"/>
          <w:sz w:val="20"/>
        </w:rPr>
      </w:pPr>
      <w:r w:rsidRPr="002F0CE2">
        <w:rPr>
          <w:rFonts w:asciiTheme="majorBidi" w:hAnsiTheme="majorBidi" w:cstheme="majorBidi"/>
          <w:sz w:val="20"/>
        </w:rPr>
        <w:t>David M. Seymour, “Critical Theories of Antisemitism” (</w:t>
      </w:r>
      <w:r w:rsidR="00617E4C">
        <w:rPr>
          <w:rFonts w:asciiTheme="majorBidi" w:hAnsiTheme="majorBidi" w:cstheme="majorBidi"/>
          <w:sz w:val="20"/>
        </w:rPr>
        <w:t>PhD diss.</w:t>
      </w:r>
      <w:r w:rsidRPr="002F0CE2">
        <w:rPr>
          <w:rFonts w:asciiTheme="majorBidi" w:hAnsiTheme="majorBidi" w:cstheme="majorBidi"/>
          <w:sz w:val="20"/>
        </w:rPr>
        <w:t>, University of Warwick</w:t>
      </w:r>
      <w:r w:rsidR="00617E4C">
        <w:rPr>
          <w:rFonts w:asciiTheme="majorBidi" w:hAnsiTheme="majorBidi" w:cstheme="majorBidi"/>
          <w:sz w:val="20"/>
        </w:rPr>
        <w:t>, 1999</w:t>
      </w:r>
      <w:r w:rsidR="00A87168">
        <w:rPr>
          <w:rFonts w:asciiTheme="majorBidi" w:hAnsiTheme="majorBidi" w:cstheme="majorBidi"/>
          <w:sz w:val="20"/>
        </w:rPr>
        <w:t xml:space="preserve">), </w:t>
      </w:r>
      <w:r w:rsidR="00A87168" w:rsidRPr="00A87168">
        <w:rPr>
          <w:rFonts w:asciiTheme="majorBidi" w:hAnsiTheme="majorBidi" w:cstheme="majorBidi"/>
          <w:sz w:val="20"/>
        </w:rPr>
        <w:t>12–17, 99–116, 154–164</w:t>
      </w:r>
      <w:r w:rsidRPr="002F0CE2">
        <w:rPr>
          <w:rFonts w:asciiTheme="majorBidi" w:hAnsiTheme="majorBidi" w:cstheme="majorBidi"/>
          <w:sz w:val="20"/>
        </w:rPr>
        <w:t>.</w:t>
      </w:r>
    </w:p>
    <w:p w14:paraId="6DCE03D4" w14:textId="7727FCD3" w:rsidR="002134EA" w:rsidRPr="002F0CE2" w:rsidRDefault="002134EA" w:rsidP="00617E4C">
      <w:pPr>
        <w:ind w:left="720" w:hanging="720"/>
        <w:rPr>
          <w:rFonts w:asciiTheme="majorBidi" w:hAnsiTheme="majorBidi" w:cstheme="majorBidi"/>
          <w:sz w:val="20"/>
        </w:rPr>
      </w:pPr>
      <w:r w:rsidRPr="002134EA">
        <w:rPr>
          <w:rFonts w:asciiTheme="majorBidi" w:hAnsiTheme="majorBidi" w:cstheme="majorBidi"/>
          <w:sz w:val="20"/>
        </w:rPr>
        <w:t xml:space="preserve">Jack Jacobs, </w:t>
      </w:r>
      <w:hyperlink r:id="rId27" w:history="1">
        <w:r w:rsidRPr="00D41FC4">
          <w:rPr>
            <w:rStyle w:val="Hyperlink"/>
            <w:rFonts w:asciiTheme="majorBidi" w:hAnsiTheme="majorBidi" w:cstheme="majorBidi"/>
            <w:i/>
            <w:iCs/>
            <w:sz w:val="20"/>
          </w:rPr>
          <w:t>The Frankfurt School, Jewish Lives, and Antisemitism</w:t>
        </w:r>
      </w:hyperlink>
      <w:r w:rsidRPr="002134EA">
        <w:rPr>
          <w:rFonts w:asciiTheme="majorBidi" w:hAnsiTheme="majorBidi" w:cstheme="majorBidi"/>
          <w:sz w:val="20"/>
        </w:rPr>
        <w:t xml:space="preserve"> (New York: Cambridge University Press, 2015).</w:t>
      </w:r>
    </w:p>
    <w:p w14:paraId="274ECD47" w14:textId="77777777" w:rsidR="00D91455" w:rsidRPr="002F0CE2" w:rsidRDefault="00D91455" w:rsidP="00D91455">
      <w:pPr>
        <w:rPr>
          <w:rFonts w:asciiTheme="majorBidi" w:hAnsiTheme="majorBidi" w:cstheme="majorBidi"/>
          <w:sz w:val="22"/>
          <w:szCs w:val="22"/>
        </w:rPr>
      </w:pPr>
    </w:p>
    <w:p w14:paraId="3AA01E36" w14:textId="750A089F" w:rsidR="00547A01" w:rsidRPr="002F0CE2" w:rsidRDefault="00D91455" w:rsidP="001C1299">
      <w:pPr>
        <w:rPr>
          <w:sz w:val="22"/>
          <w:szCs w:val="22"/>
        </w:rPr>
      </w:pPr>
      <w:r w:rsidRPr="002F0CE2">
        <w:rPr>
          <w:b/>
          <w:sz w:val="22"/>
          <w:szCs w:val="22"/>
        </w:rPr>
        <w:lastRenderedPageBreak/>
        <w:t>Nov. 9</w:t>
      </w:r>
      <w:r w:rsidR="004D6F24" w:rsidRPr="002F0CE2">
        <w:rPr>
          <w:b/>
          <w:sz w:val="22"/>
          <w:szCs w:val="22"/>
        </w:rPr>
        <w:t xml:space="preserve"> – Modernity and the Holocaust</w:t>
      </w:r>
    </w:p>
    <w:p w14:paraId="4BF978EB" w14:textId="77777777" w:rsidR="001C1299" w:rsidRPr="002F0CE2" w:rsidRDefault="001C1299" w:rsidP="001C1299">
      <w:pPr>
        <w:ind w:left="720" w:hanging="720"/>
        <w:rPr>
          <w:sz w:val="22"/>
          <w:szCs w:val="22"/>
        </w:rPr>
      </w:pPr>
      <w:r w:rsidRPr="002F0CE2">
        <w:rPr>
          <w:sz w:val="22"/>
          <w:szCs w:val="22"/>
        </w:rPr>
        <w:t xml:space="preserve">Zygmunt Bauman, </w:t>
      </w:r>
      <w:r w:rsidRPr="002F0CE2">
        <w:rPr>
          <w:i/>
          <w:iCs/>
          <w:sz w:val="22"/>
          <w:szCs w:val="22"/>
        </w:rPr>
        <w:t>Modernity and the Holocaust</w:t>
      </w:r>
      <w:r w:rsidRPr="002F0CE2">
        <w:rPr>
          <w:sz w:val="22"/>
          <w:szCs w:val="22"/>
        </w:rPr>
        <w:t xml:space="preserve"> (Ithaca: Cornell University Press, 1989), 1–30.</w:t>
      </w:r>
    </w:p>
    <w:p w14:paraId="3CA0AF81" w14:textId="77777777" w:rsidR="001C1299" w:rsidRPr="002F0CE2" w:rsidRDefault="001C1299" w:rsidP="001C1299">
      <w:pPr>
        <w:ind w:left="720" w:hanging="720"/>
        <w:rPr>
          <w:sz w:val="22"/>
          <w:szCs w:val="22"/>
        </w:rPr>
      </w:pPr>
      <w:r w:rsidRPr="002F0CE2">
        <w:rPr>
          <w:sz w:val="22"/>
          <w:szCs w:val="22"/>
        </w:rPr>
        <w:t xml:space="preserve">Zygmunt Bauman, “‘Antisemitism’ Reassessed,” in </w:t>
      </w:r>
      <w:r w:rsidRPr="002F0CE2">
        <w:rPr>
          <w:i/>
          <w:iCs/>
          <w:sz w:val="22"/>
          <w:szCs w:val="22"/>
        </w:rPr>
        <w:t>Life in Fragments: Essays in Postmodern Morality</w:t>
      </w:r>
      <w:r w:rsidRPr="002F0CE2">
        <w:rPr>
          <w:sz w:val="22"/>
          <w:szCs w:val="22"/>
        </w:rPr>
        <w:t xml:space="preserve"> (Cambridge, MA: Blackwell, 1995), pp. 206–222.</w:t>
      </w:r>
    </w:p>
    <w:p w14:paraId="62E4A207" w14:textId="77777777" w:rsidR="001C1299" w:rsidRDefault="001C1299" w:rsidP="001C1299">
      <w:pPr>
        <w:rPr>
          <w:rFonts w:asciiTheme="majorBidi" w:hAnsiTheme="majorBidi" w:cstheme="majorBidi"/>
          <w:sz w:val="22"/>
          <w:szCs w:val="22"/>
        </w:rPr>
      </w:pPr>
    </w:p>
    <w:p w14:paraId="31D56E4C" w14:textId="489226B1" w:rsidR="00F47862" w:rsidRPr="002F0CE2" w:rsidRDefault="00F47862" w:rsidP="00CA5232">
      <w:pPr>
        <w:rPr>
          <w:rFonts w:asciiTheme="majorBidi" w:hAnsiTheme="majorBidi" w:cstheme="majorBidi"/>
          <w:sz w:val="22"/>
          <w:szCs w:val="22"/>
        </w:rPr>
      </w:pPr>
      <w:r>
        <w:rPr>
          <w:b/>
          <w:sz w:val="22"/>
          <w:szCs w:val="22"/>
        </w:rPr>
        <w:t>Nov. 14</w:t>
      </w:r>
      <w:r w:rsidRPr="002F0CE2">
        <w:rPr>
          <w:b/>
          <w:sz w:val="22"/>
          <w:szCs w:val="22"/>
        </w:rPr>
        <w:t xml:space="preserve"> – </w:t>
      </w:r>
      <w:r w:rsidR="00CA5232" w:rsidRPr="002F0CE2">
        <w:rPr>
          <w:rFonts w:asciiTheme="majorBidi" w:hAnsiTheme="majorBidi" w:cstheme="majorBidi"/>
          <w:b/>
          <w:bCs/>
          <w:color w:val="000000"/>
          <w:sz w:val="22"/>
          <w:szCs w:val="22"/>
        </w:rPr>
        <w:t>Antisemitism in the Soviet Union</w:t>
      </w:r>
    </w:p>
    <w:p w14:paraId="09158FC9" w14:textId="795215B5" w:rsidR="00F835BD" w:rsidRPr="00F835BD" w:rsidRDefault="00F835BD" w:rsidP="00C80540">
      <w:pPr>
        <w:rPr>
          <w:b/>
          <w:bCs/>
          <w:sz w:val="22"/>
          <w:szCs w:val="22"/>
        </w:rPr>
      </w:pPr>
      <w:r w:rsidRPr="00F835BD">
        <w:rPr>
          <w:b/>
          <w:bCs/>
          <w:color w:val="FF0000"/>
          <w:sz w:val="22"/>
          <w:szCs w:val="22"/>
        </w:rPr>
        <w:t xml:space="preserve">Response paper #2 </w:t>
      </w:r>
      <w:r w:rsidR="00C80540">
        <w:rPr>
          <w:b/>
          <w:bCs/>
          <w:color w:val="FF0000"/>
          <w:sz w:val="22"/>
          <w:szCs w:val="22"/>
        </w:rPr>
        <w:t>due (350–700 words</w:t>
      </w:r>
      <w:r w:rsidRPr="00F835BD">
        <w:rPr>
          <w:b/>
          <w:bCs/>
          <w:color w:val="FF0000"/>
          <w:sz w:val="22"/>
          <w:szCs w:val="22"/>
        </w:rPr>
        <w:t>)</w:t>
      </w:r>
    </w:p>
    <w:p w14:paraId="3D23FB63" w14:textId="36083366" w:rsidR="00CA5232" w:rsidRPr="00CA5232" w:rsidRDefault="00CA5232" w:rsidP="00493FD3">
      <w:pPr>
        <w:ind w:left="720" w:hanging="720"/>
        <w:rPr>
          <w:rFonts w:asciiTheme="majorBidi" w:hAnsiTheme="majorBidi" w:cstheme="majorBidi"/>
          <w:sz w:val="22"/>
          <w:szCs w:val="22"/>
        </w:rPr>
      </w:pPr>
      <w:r w:rsidRPr="00CA5232">
        <w:rPr>
          <w:rFonts w:asciiTheme="majorBidi" w:hAnsiTheme="majorBidi" w:cstheme="majorBidi"/>
          <w:sz w:val="22"/>
          <w:szCs w:val="22"/>
        </w:rPr>
        <w:t xml:space="preserve">Löwe, “Antisemitism in Russia and the Soviet Union,” </w:t>
      </w:r>
      <w:r w:rsidRPr="002F0CE2">
        <w:rPr>
          <w:rFonts w:asciiTheme="majorBidi" w:hAnsiTheme="majorBidi" w:cstheme="majorBidi"/>
          <w:sz w:val="22"/>
          <w:szCs w:val="22"/>
        </w:rPr>
        <w:t xml:space="preserve">in </w:t>
      </w:r>
      <w:hyperlink r:id="rId28" w:history="1">
        <w:r w:rsidRPr="003F722A">
          <w:rPr>
            <w:rStyle w:val="Hyperlink"/>
            <w:rFonts w:asciiTheme="majorBidi" w:hAnsiTheme="majorBidi" w:cstheme="majorBidi"/>
            <w:i/>
            <w:iCs/>
            <w:sz w:val="22"/>
            <w:szCs w:val="22"/>
          </w:rPr>
          <w:t>Antisemitism: A History</w:t>
        </w:r>
      </w:hyperlink>
      <w:r w:rsidR="00493FD3">
        <w:rPr>
          <w:rFonts w:asciiTheme="majorBidi" w:hAnsiTheme="majorBidi" w:cstheme="majorBidi"/>
          <w:sz w:val="22"/>
          <w:szCs w:val="22"/>
        </w:rPr>
        <w:t xml:space="preserve">, </w:t>
      </w:r>
      <w:r>
        <w:rPr>
          <w:rFonts w:asciiTheme="majorBidi" w:hAnsiTheme="majorBidi" w:cstheme="majorBidi"/>
          <w:sz w:val="22"/>
          <w:szCs w:val="22"/>
        </w:rPr>
        <w:t>179–193.</w:t>
      </w:r>
    </w:p>
    <w:p w14:paraId="286FD5A8" w14:textId="07359DA7" w:rsidR="00CA5232" w:rsidRPr="00CA5232" w:rsidRDefault="00CA5232" w:rsidP="00CA5232">
      <w:pPr>
        <w:ind w:left="720" w:hanging="720"/>
        <w:rPr>
          <w:rFonts w:asciiTheme="majorBidi" w:hAnsiTheme="majorBidi" w:cstheme="majorBidi"/>
          <w:sz w:val="22"/>
          <w:szCs w:val="22"/>
        </w:rPr>
      </w:pPr>
      <w:r w:rsidRPr="00CA5232">
        <w:rPr>
          <w:rFonts w:asciiTheme="majorBidi" w:hAnsiTheme="majorBidi" w:cstheme="majorBidi"/>
          <w:sz w:val="22"/>
          <w:szCs w:val="22"/>
        </w:rPr>
        <w:t xml:space="preserve">Andrew Sloin, “Theorizing Soviet Antisemitism: Value, Crisis, and Stalinist ‘Modernity,’” </w:t>
      </w:r>
      <w:r w:rsidRPr="00CA5232">
        <w:rPr>
          <w:rFonts w:asciiTheme="majorBidi" w:hAnsiTheme="majorBidi" w:cstheme="majorBidi"/>
          <w:i/>
          <w:iCs/>
          <w:sz w:val="22"/>
          <w:szCs w:val="22"/>
        </w:rPr>
        <w:t>Critical Historical Studies</w:t>
      </w:r>
      <w:r>
        <w:rPr>
          <w:rFonts w:asciiTheme="majorBidi" w:hAnsiTheme="majorBidi" w:cstheme="majorBidi"/>
          <w:sz w:val="22"/>
          <w:szCs w:val="22"/>
        </w:rPr>
        <w:t xml:space="preserve"> 3, no. 2 (Fall 2016): 249–281.</w:t>
      </w:r>
    </w:p>
    <w:p w14:paraId="65644A46" w14:textId="664B8600" w:rsidR="00CA5232" w:rsidRPr="00CA5232" w:rsidRDefault="00CA5232" w:rsidP="00CA5232">
      <w:pPr>
        <w:ind w:left="720" w:hanging="720"/>
        <w:rPr>
          <w:rFonts w:asciiTheme="majorBidi" w:hAnsiTheme="majorBidi" w:cstheme="majorBidi"/>
          <w:sz w:val="22"/>
          <w:szCs w:val="22"/>
        </w:rPr>
      </w:pPr>
      <w:r w:rsidRPr="00CA5232">
        <w:rPr>
          <w:rFonts w:asciiTheme="majorBidi" w:hAnsiTheme="majorBidi" w:cstheme="majorBidi"/>
          <w:sz w:val="22"/>
          <w:szCs w:val="22"/>
        </w:rPr>
        <w:t xml:space="preserve">Izabella Tabarovsky, “Demonization Blueprints: Soviet Conspiracist Antizionism in Contemporary Left-Wing Discourse,” </w:t>
      </w:r>
      <w:r w:rsidRPr="00CA5232">
        <w:rPr>
          <w:rFonts w:asciiTheme="majorBidi" w:hAnsiTheme="majorBidi" w:cstheme="majorBidi"/>
          <w:i/>
          <w:iCs/>
          <w:sz w:val="22"/>
          <w:szCs w:val="22"/>
        </w:rPr>
        <w:t>Journal of Contemporary Antisemitism</w:t>
      </w:r>
      <w:r w:rsidRPr="00CA5232">
        <w:rPr>
          <w:rFonts w:asciiTheme="majorBidi" w:hAnsiTheme="majorBidi" w:cstheme="majorBidi"/>
          <w:sz w:val="22"/>
          <w:szCs w:val="22"/>
        </w:rPr>
        <w:t xml:space="preserve"> 5, no. 1 (2022): 1–20.</w:t>
      </w:r>
    </w:p>
    <w:p w14:paraId="1407062C" w14:textId="77777777" w:rsidR="00F47862" w:rsidRPr="00DB4C7B" w:rsidRDefault="00F47862" w:rsidP="00DB4C7B">
      <w:pPr>
        <w:ind w:left="720" w:hanging="720"/>
        <w:rPr>
          <w:rFonts w:asciiTheme="majorBidi" w:hAnsiTheme="majorBidi" w:cstheme="majorBidi"/>
          <w:sz w:val="20"/>
        </w:rPr>
      </w:pPr>
    </w:p>
    <w:p w14:paraId="505F4B86" w14:textId="5242A95A" w:rsidR="00DB4C7B" w:rsidRPr="00DB4C7B" w:rsidRDefault="00DB4C7B" w:rsidP="00DB4C7B">
      <w:pPr>
        <w:ind w:left="720" w:hanging="720"/>
        <w:rPr>
          <w:rFonts w:asciiTheme="majorBidi" w:hAnsiTheme="majorBidi" w:cstheme="majorBidi"/>
          <w:sz w:val="20"/>
        </w:rPr>
      </w:pPr>
      <w:r w:rsidRPr="00DB4C7B">
        <w:rPr>
          <w:rFonts w:asciiTheme="majorBidi" w:hAnsiTheme="majorBidi" w:cstheme="majorBidi"/>
          <w:sz w:val="20"/>
          <w:u w:val="single"/>
        </w:rPr>
        <w:t>Recommended</w:t>
      </w:r>
      <w:r w:rsidRPr="00DB4C7B">
        <w:rPr>
          <w:rFonts w:asciiTheme="majorBidi" w:hAnsiTheme="majorBidi" w:cstheme="majorBidi"/>
          <w:sz w:val="20"/>
        </w:rPr>
        <w:t xml:space="preserve">: Moishe Postone, “Anti-Semitism and National Socialism,” in </w:t>
      </w:r>
      <w:r w:rsidRPr="00DB4C7B">
        <w:rPr>
          <w:rFonts w:asciiTheme="majorBidi" w:hAnsiTheme="majorBidi" w:cstheme="majorBidi"/>
          <w:i/>
          <w:iCs/>
          <w:sz w:val="20"/>
        </w:rPr>
        <w:t>Germans and Jews since the Holocaus</w:t>
      </w:r>
      <w:r>
        <w:rPr>
          <w:rFonts w:asciiTheme="majorBidi" w:hAnsiTheme="majorBidi" w:cstheme="majorBidi"/>
          <w:i/>
          <w:iCs/>
          <w:sz w:val="20"/>
        </w:rPr>
        <w:t>t</w:t>
      </w:r>
      <w:r w:rsidRPr="00DB4C7B">
        <w:rPr>
          <w:rFonts w:asciiTheme="majorBidi" w:hAnsiTheme="majorBidi" w:cstheme="majorBidi"/>
          <w:sz w:val="20"/>
        </w:rPr>
        <w:t>, eds. Anson Rabinbach and Jack Zipes (New York: Holmes &amp; Meier, 1986), 302–314.</w:t>
      </w:r>
    </w:p>
    <w:p w14:paraId="72E13469" w14:textId="77777777" w:rsidR="00DB4C7B" w:rsidRPr="002F0CE2" w:rsidRDefault="00DB4C7B" w:rsidP="001C1299">
      <w:pPr>
        <w:rPr>
          <w:rFonts w:asciiTheme="majorBidi" w:hAnsiTheme="majorBidi" w:cstheme="majorBidi"/>
          <w:sz w:val="22"/>
          <w:szCs w:val="22"/>
        </w:rPr>
      </w:pPr>
    </w:p>
    <w:p w14:paraId="2C269389" w14:textId="1B056F62" w:rsidR="00D91455" w:rsidRPr="002F0CE2" w:rsidRDefault="00D91455" w:rsidP="006A33AE">
      <w:pPr>
        <w:rPr>
          <w:b/>
          <w:bCs/>
          <w:szCs w:val="24"/>
          <w:u w:val="single"/>
        </w:rPr>
      </w:pPr>
      <w:r w:rsidRPr="002F0CE2">
        <w:rPr>
          <w:b/>
          <w:bCs/>
          <w:szCs w:val="24"/>
          <w:u w:val="single"/>
        </w:rPr>
        <w:t xml:space="preserve">III. </w:t>
      </w:r>
      <w:r w:rsidR="006A33AE" w:rsidRPr="002F0CE2">
        <w:rPr>
          <w:b/>
          <w:bCs/>
          <w:szCs w:val="24"/>
          <w:u w:val="single"/>
        </w:rPr>
        <w:t xml:space="preserve">CONTEMPORARY </w:t>
      </w:r>
      <w:r w:rsidRPr="002F0CE2">
        <w:rPr>
          <w:rFonts w:asciiTheme="majorBidi" w:hAnsiTheme="majorBidi" w:cstheme="majorBidi"/>
          <w:b/>
          <w:bCs/>
          <w:caps/>
          <w:color w:val="000000"/>
          <w:szCs w:val="24"/>
          <w:u w:val="single"/>
        </w:rPr>
        <w:t>Antisemitism</w:t>
      </w:r>
    </w:p>
    <w:p w14:paraId="3EBE29F9" w14:textId="77777777" w:rsidR="00D91455" w:rsidRPr="002F0CE2" w:rsidRDefault="00D91455" w:rsidP="001C1299">
      <w:pPr>
        <w:rPr>
          <w:rFonts w:asciiTheme="majorBidi" w:hAnsiTheme="majorBidi" w:cstheme="majorBidi"/>
          <w:sz w:val="22"/>
          <w:szCs w:val="22"/>
        </w:rPr>
      </w:pPr>
    </w:p>
    <w:p w14:paraId="03FD9496" w14:textId="3F83E7AB" w:rsidR="002D4429" w:rsidRPr="002F0CE2" w:rsidRDefault="00F47862" w:rsidP="00D91455">
      <w:pPr>
        <w:rPr>
          <w:rFonts w:asciiTheme="majorBidi" w:hAnsiTheme="majorBidi" w:cstheme="majorBidi"/>
          <w:b/>
          <w:bCs/>
          <w:sz w:val="22"/>
          <w:szCs w:val="22"/>
        </w:rPr>
      </w:pPr>
      <w:r>
        <w:rPr>
          <w:rFonts w:asciiTheme="majorBidi" w:hAnsiTheme="majorBidi" w:cstheme="majorBidi"/>
          <w:b/>
          <w:bCs/>
          <w:sz w:val="22"/>
          <w:szCs w:val="22"/>
        </w:rPr>
        <w:t>Nov. 16</w:t>
      </w:r>
      <w:r w:rsidR="00D91455" w:rsidRPr="002F0CE2">
        <w:rPr>
          <w:rFonts w:asciiTheme="majorBidi" w:hAnsiTheme="majorBidi" w:cstheme="majorBidi"/>
          <w:b/>
          <w:bCs/>
          <w:sz w:val="22"/>
          <w:szCs w:val="22"/>
        </w:rPr>
        <w:t xml:space="preserve"> </w:t>
      </w:r>
      <w:r w:rsidR="00D91455" w:rsidRPr="002F0CE2">
        <w:rPr>
          <w:b/>
          <w:bCs/>
          <w:sz w:val="22"/>
          <w:szCs w:val="22"/>
        </w:rPr>
        <w:t>–</w:t>
      </w:r>
      <w:r w:rsidR="00D91455" w:rsidRPr="002F0CE2">
        <w:rPr>
          <w:b/>
          <w:sz w:val="22"/>
          <w:szCs w:val="22"/>
        </w:rPr>
        <w:t xml:space="preserve"> </w:t>
      </w:r>
      <w:r w:rsidR="002D4429" w:rsidRPr="002F0CE2">
        <w:rPr>
          <w:rFonts w:asciiTheme="majorBidi" w:hAnsiTheme="majorBidi" w:cstheme="majorBidi"/>
          <w:b/>
          <w:bCs/>
          <w:sz w:val="22"/>
          <w:szCs w:val="22"/>
        </w:rPr>
        <w:t>Antisemitism after the Holocaust</w:t>
      </w:r>
    </w:p>
    <w:p w14:paraId="2D99E388" w14:textId="34135BD5" w:rsidR="002D4429" w:rsidRDefault="002D4429" w:rsidP="00DC6E09">
      <w:pPr>
        <w:ind w:left="720" w:hanging="720"/>
        <w:rPr>
          <w:rFonts w:asciiTheme="majorBidi" w:hAnsiTheme="majorBidi" w:cstheme="majorBidi"/>
          <w:sz w:val="22"/>
          <w:szCs w:val="22"/>
        </w:rPr>
      </w:pPr>
      <w:r w:rsidRPr="002F0CE2">
        <w:rPr>
          <w:rFonts w:asciiTheme="majorBidi" w:hAnsiTheme="majorBidi" w:cstheme="majorBidi"/>
          <w:sz w:val="22"/>
          <w:szCs w:val="22"/>
        </w:rPr>
        <w:t xml:space="preserve">Beller, “After Auschwitz,” </w:t>
      </w:r>
      <w:hyperlink r:id="rId29" w:history="1">
        <w:r w:rsidRPr="0082376B">
          <w:rPr>
            <w:rStyle w:val="Hyperlink"/>
            <w:rFonts w:asciiTheme="majorBidi" w:hAnsiTheme="majorBidi" w:cstheme="majorBidi"/>
            <w:i/>
            <w:iCs/>
            <w:sz w:val="22"/>
            <w:szCs w:val="22"/>
          </w:rPr>
          <w:t>Antisemitism</w:t>
        </w:r>
      </w:hyperlink>
      <w:r w:rsidRPr="002F0CE2">
        <w:rPr>
          <w:rFonts w:asciiTheme="majorBidi" w:hAnsiTheme="majorBidi" w:cstheme="majorBidi"/>
          <w:sz w:val="22"/>
          <w:szCs w:val="22"/>
        </w:rPr>
        <w:t>, 101–127.</w:t>
      </w:r>
    </w:p>
    <w:p w14:paraId="4E0A988F" w14:textId="0F5CEAE2" w:rsidR="000C08CF" w:rsidRDefault="000C08CF" w:rsidP="000C08CF">
      <w:pPr>
        <w:ind w:left="720" w:hanging="720"/>
        <w:rPr>
          <w:rFonts w:asciiTheme="majorBidi" w:hAnsiTheme="majorBidi" w:cstheme="majorBidi"/>
          <w:sz w:val="22"/>
          <w:szCs w:val="22"/>
        </w:rPr>
      </w:pPr>
      <w:r w:rsidRPr="002F0CE2">
        <w:rPr>
          <w:sz w:val="22"/>
          <w:szCs w:val="22"/>
        </w:rPr>
        <w:t>Robert Fine and Philip Spencer</w:t>
      </w:r>
      <w:r>
        <w:rPr>
          <w:sz w:val="22"/>
          <w:szCs w:val="22"/>
        </w:rPr>
        <w:t xml:space="preserve">, </w:t>
      </w:r>
      <w:hyperlink r:id="rId30" w:history="1">
        <w:r w:rsidRPr="00A479EB">
          <w:rPr>
            <w:rStyle w:val="Hyperlink"/>
            <w:i/>
            <w:iCs/>
            <w:sz w:val="22"/>
            <w:szCs w:val="22"/>
          </w:rPr>
          <w:t>Antisemitism and the Left: On the Return of the Jewish Question</w:t>
        </w:r>
      </w:hyperlink>
      <w:r>
        <w:rPr>
          <w:sz w:val="22"/>
          <w:szCs w:val="22"/>
        </w:rPr>
        <w:t xml:space="preserve"> (</w:t>
      </w:r>
      <w:r w:rsidRPr="002F0CE2">
        <w:rPr>
          <w:sz w:val="22"/>
          <w:szCs w:val="22"/>
        </w:rPr>
        <w:t>Manchester: Manchester University Press</w:t>
      </w:r>
      <w:r>
        <w:rPr>
          <w:sz w:val="22"/>
          <w:szCs w:val="22"/>
        </w:rPr>
        <w:t>, 2017), 93–110.</w:t>
      </w:r>
    </w:p>
    <w:p w14:paraId="5577F541" w14:textId="39CB3713" w:rsidR="00DC6E09" w:rsidRPr="002F0CE2" w:rsidRDefault="00DC6E09" w:rsidP="00DC6E09">
      <w:pPr>
        <w:ind w:left="720" w:hanging="720"/>
        <w:rPr>
          <w:rFonts w:asciiTheme="majorBidi" w:hAnsiTheme="majorBidi" w:cstheme="majorBidi"/>
          <w:sz w:val="22"/>
          <w:szCs w:val="22"/>
        </w:rPr>
      </w:pPr>
      <w:r w:rsidRPr="002F0CE2">
        <w:rPr>
          <w:rFonts w:asciiTheme="majorBidi" w:hAnsiTheme="majorBidi" w:cstheme="majorBidi"/>
          <w:sz w:val="22"/>
          <w:szCs w:val="22"/>
        </w:rPr>
        <w:t xml:space="preserve">Shalom Lappin, “The Re-Emergence of the Jewish Question,” </w:t>
      </w:r>
      <w:r w:rsidRPr="002F0CE2">
        <w:rPr>
          <w:rFonts w:asciiTheme="majorBidi" w:hAnsiTheme="majorBidi" w:cstheme="majorBidi"/>
          <w:i/>
          <w:iCs/>
          <w:sz w:val="22"/>
          <w:szCs w:val="22"/>
        </w:rPr>
        <w:t xml:space="preserve">Journal of Contemporary Antisemitism </w:t>
      </w:r>
      <w:r w:rsidRPr="002F0CE2">
        <w:rPr>
          <w:rFonts w:asciiTheme="majorBidi" w:hAnsiTheme="majorBidi" w:cstheme="majorBidi"/>
          <w:sz w:val="22"/>
          <w:szCs w:val="22"/>
        </w:rPr>
        <w:t xml:space="preserve">2, no. 1 (July </w:t>
      </w:r>
      <w:r w:rsidR="009E7CD4">
        <w:rPr>
          <w:rFonts w:asciiTheme="majorBidi" w:hAnsiTheme="majorBidi" w:cstheme="majorBidi"/>
          <w:sz w:val="22"/>
          <w:szCs w:val="22"/>
        </w:rPr>
        <w:t>2019): 29–</w:t>
      </w:r>
      <w:r w:rsidRPr="002F0CE2">
        <w:rPr>
          <w:rFonts w:asciiTheme="majorBidi" w:hAnsiTheme="majorBidi" w:cstheme="majorBidi"/>
          <w:sz w:val="22"/>
          <w:szCs w:val="22"/>
        </w:rPr>
        <w:t>46.</w:t>
      </w:r>
    </w:p>
    <w:p w14:paraId="74C3CF8D" w14:textId="77777777" w:rsidR="00DC6E09" w:rsidRPr="002F0CE2" w:rsidRDefault="00DC6E09" w:rsidP="00DC6E09">
      <w:pPr>
        <w:rPr>
          <w:rFonts w:asciiTheme="majorBidi" w:hAnsiTheme="majorBidi" w:cstheme="majorBidi"/>
          <w:sz w:val="20"/>
          <w:u w:val="single"/>
        </w:rPr>
      </w:pPr>
    </w:p>
    <w:p w14:paraId="016BAF22" w14:textId="1B2A5BFC" w:rsidR="009539F7" w:rsidRDefault="009539F7" w:rsidP="00DC6E09">
      <w:pPr>
        <w:rPr>
          <w:rFonts w:asciiTheme="majorBidi" w:hAnsiTheme="majorBidi" w:cstheme="majorBidi"/>
          <w:sz w:val="20"/>
        </w:rPr>
      </w:pPr>
      <w:r w:rsidRPr="002F0CE2">
        <w:rPr>
          <w:rFonts w:asciiTheme="majorBidi" w:hAnsiTheme="majorBidi" w:cstheme="majorBidi"/>
          <w:sz w:val="20"/>
          <w:u w:val="single"/>
        </w:rPr>
        <w:t>Recommended</w:t>
      </w:r>
      <w:r w:rsidRPr="002F0CE2">
        <w:rPr>
          <w:rFonts w:asciiTheme="majorBidi" w:hAnsiTheme="majorBidi" w:cstheme="majorBidi"/>
          <w:sz w:val="20"/>
        </w:rPr>
        <w:t>:</w:t>
      </w:r>
    </w:p>
    <w:p w14:paraId="196F15BE" w14:textId="2095189A" w:rsidR="0099519A" w:rsidRDefault="0099519A" w:rsidP="00255204">
      <w:pPr>
        <w:ind w:left="720" w:hanging="720"/>
        <w:rPr>
          <w:rFonts w:asciiTheme="majorBidi" w:hAnsiTheme="majorBidi" w:cstheme="majorBidi"/>
          <w:sz w:val="20"/>
        </w:rPr>
      </w:pPr>
      <w:r w:rsidRPr="002F0CE2">
        <w:rPr>
          <w:rFonts w:asciiTheme="majorBidi" w:hAnsiTheme="majorBidi" w:cstheme="majorBidi"/>
          <w:sz w:val="20"/>
        </w:rPr>
        <w:t xml:space="preserve">Jeffrey C. Alexander, “Answering the Jewish Question in America,” in </w:t>
      </w:r>
      <w:hyperlink r:id="rId31" w:history="1">
        <w:r w:rsidRPr="00033B15">
          <w:rPr>
            <w:rStyle w:val="Hyperlink"/>
            <w:rFonts w:asciiTheme="majorBidi" w:hAnsiTheme="majorBidi" w:cstheme="majorBidi"/>
            <w:i/>
            <w:iCs/>
            <w:sz w:val="20"/>
          </w:rPr>
          <w:t>The Civil Sphere</w:t>
        </w:r>
      </w:hyperlink>
      <w:r w:rsidRPr="002F0CE2">
        <w:rPr>
          <w:rFonts w:asciiTheme="majorBidi" w:hAnsiTheme="majorBidi" w:cstheme="majorBidi"/>
          <w:sz w:val="20"/>
        </w:rPr>
        <w:t>, 503–547.</w:t>
      </w:r>
    </w:p>
    <w:p w14:paraId="7BDFF0C9" w14:textId="65A26FC2" w:rsidR="000C6448" w:rsidRPr="002F0CE2" w:rsidRDefault="000C6448" w:rsidP="000C6448">
      <w:pPr>
        <w:ind w:left="720" w:hanging="720"/>
        <w:rPr>
          <w:rFonts w:asciiTheme="majorBidi" w:hAnsiTheme="majorBidi" w:cstheme="majorBidi"/>
          <w:sz w:val="20"/>
        </w:rPr>
      </w:pPr>
      <w:r w:rsidRPr="000C6448">
        <w:rPr>
          <w:rFonts w:asciiTheme="majorBidi" w:hAnsiTheme="majorBidi" w:cstheme="majorBidi"/>
          <w:sz w:val="20"/>
        </w:rPr>
        <w:t xml:space="preserve">David M. Seymour, “‘New Europe,’ Holocaust Memory, and Antisemitism,” </w:t>
      </w:r>
      <w:r w:rsidRPr="00137FFB">
        <w:rPr>
          <w:sz w:val="20"/>
        </w:rPr>
        <w:t xml:space="preserve">in </w:t>
      </w:r>
      <w:hyperlink r:id="rId32" w:history="1">
        <w:r w:rsidRPr="00BA2F6E">
          <w:rPr>
            <w:rStyle w:val="Hyperlink"/>
            <w:i/>
            <w:iCs/>
            <w:sz w:val="20"/>
          </w:rPr>
          <w:t>Global Antisemitism: A Crisis of Modernity</w:t>
        </w:r>
        <w:r w:rsidRPr="00BA2F6E">
          <w:rPr>
            <w:rStyle w:val="Hyperlink"/>
            <w:sz w:val="20"/>
          </w:rPr>
          <w:t>, vol. 1</w:t>
        </w:r>
      </w:hyperlink>
      <w:r w:rsidRPr="00137FFB">
        <w:rPr>
          <w:sz w:val="20"/>
        </w:rPr>
        <w:t>, ed. Charles Asher Small (New York: ISGAP, 2013)</w:t>
      </w:r>
      <w:r w:rsidRPr="000C6448">
        <w:rPr>
          <w:rFonts w:asciiTheme="majorBidi" w:hAnsiTheme="majorBidi" w:cstheme="majorBidi"/>
          <w:sz w:val="20"/>
        </w:rPr>
        <w:t>, 19–25.</w:t>
      </w:r>
    </w:p>
    <w:p w14:paraId="249944F4" w14:textId="6659FF87" w:rsidR="0099519A" w:rsidRPr="0099519A" w:rsidRDefault="00080D33" w:rsidP="0099519A">
      <w:pPr>
        <w:ind w:left="720" w:hanging="720"/>
        <w:rPr>
          <w:rFonts w:asciiTheme="majorBidi" w:hAnsiTheme="majorBidi" w:cstheme="majorBidi"/>
          <w:sz w:val="20"/>
        </w:rPr>
      </w:pPr>
      <w:hyperlink r:id="rId33" w:history="1">
        <w:r w:rsidR="0099519A" w:rsidRPr="0099519A">
          <w:rPr>
            <w:rStyle w:val="Hyperlink"/>
            <w:rFonts w:asciiTheme="majorBidi" w:hAnsiTheme="majorBidi" w:cstheme="majorBidi"/>
            <w:sz w:val="20"/>
          </w:rPr>
          <w:t>The ADL-Hillel Campus Antisemitism Survey: 2021</w:t>
        </w:r>
      </w:hyperlink>
      <w:r w:rsidR="0099519A" w:rsidRPr="0099519A">
        <w:rPr>
          <w:rFonts w:asciiTheme="majorBidi" w:hAnsiTheme="majorBidi" w:cstheme="majorBidi"/>
          <w:sz w:val="20"/>
        </w:rPr>
        <w:t xml:space="preserve"> (Oct. 26, 2021), pp. 1–12.</w:t>
      </w:r>
    </w:p>
    <w:p w14:paraId="374C39FD" w14:textId="03A5DBEB" w:rsidR="0099519A" w:rsidRDefault="0099519A" w:rsidP="00033B15">
      <w:pPr>
        <w:ind w:left="720" w:hanging="720"/>
        <w:rPr>
          <w:rFonts w:asciiTheme="majorBidi" w:hAnsiTheme="majorBidi" w:cstheme="majorBidi"/>
          <w:sz w:val="20"/>
        </w:rPr>
      </w:pPr>
      <w:r w:rsidRPr="0099519A">
        <w:rPr>
          <w:rFonts w:asciiTheme="majorBidi" w:hAnsiTheme="majorBidi" w:cstheme="majorBidi"/>
          <w:sz w:val="20"/>
        </w:rPr>
        <w:t>Anti-Defamation League, “</w:t>
      </w:r>
      <w:hyperlink r:id="rId34" w:history="1">
        <w:r w:rsidRPr="0099519A">
          <w:rPr>
            <w:rStyle w:val="Hyperlink"/>
            <w:rFonts w:asciiTheme="majorBidi" w:hAnsiTheme="majorBidi" w:cstheme="majorBidi"/>
            <w:sz w:val="20"/>
          </w:rPr>
          <w:t>Antisemitic Attitudes in America: Topline Findings</w:t>
        </w:r>
      </w:hyperlink>
      <w:r w:rsidR="00033B15">
        <w:rPr>
          <w:rFonts w:asciiTheme="majorBidi" w:hAnsiTheme="majorBidi" w:cstheme="majorBidi"/>
          <w:sz w:val="20"/>
        </w:rPr>
        <w:t>” (Jan. 12, 2023).</w:t>
      </w:r>
    </w:p>
    <w:p w14:paraId="0D588329" w14:textId="77777777" w:rsidR="0099519A" w:rsidRPr="0099519A" w:rsidRDefault="0099519A" w:rsidP="0099519A">
      <w:pPr>
        <w:ind w:left="720" w:hanging="720"/>
        <w:rPr>
          <w:rFonts w:asciiTheme="majorBidi" w:hAnsiTheme="majorBidi" w:cstheme="majorBidi"/>
          <w:sz w:val="20"/>
        </w:rPr>
      </w:pPr>
      <w:r w:rsidRPr="0099519A">
        <w:rPr>
          <w:rFonts w:asciiTheme="majorBidi" w:hAnsiTheme="majorBidi" w:cstheme="majorBidi"/>
          <w:sz w:val="20"/>
        </w:rPr>
        <w:t>Anti-Defamation League, “</w:t>
      </w:r>
      <w:hyperlink r:id="rId35" w:history="1">
        <w:r w:rsidRPr="0099519A">
          <w:rPr>
            <w:rStyle w:val="Hyperlink"/>
            <w:rFonts w:asciiTheme="majorBidi" w:hAnsiTheme="majorBidi" w:cstheme="majorBidi"/>
            <w:sz w:val="20"/>
          </w:rPr>
          <w:t>Audit of Antisemitic Incidents 2022</w:t>
        </w:r>
      </w:hyperlink>
      <w:r>
        <w:rPr>
          <w:rFonts w:asciiTheme="majorBidi" w:hAnsiTheme="majorBidi" w:cstheme="majorBidi"/>
          <w:sz w:val="20"/>
        </w:rPr>
        <w:t>” (March 23, 2023).</w:t>
      </w:r>
    </w:p>
    <w:p w14:paraId="711A32D3" w14:textId="77777777" w:rsidR="009539F7" w:rsidRPr="002F0CE2" w:rsidRDefault="009539F7" w:rsidP="00DC6E09">
      <w:pPr>
        <w:ind w:left="720" w:hanging="720"/>
        <w:rPr>
          <w:rFonts w:asciiTheme="majorBidi" w:hAnsiTheme="majorBidi" w:cstheme="majorBidi"/>
          <w:sz w:val="20"/>
        </w:rPr>
      </w:pPr>
      <w:r w:rsidRPr="002F0CE2">
        <w:rPr>
          <w:rFonts w:asciiTheme="majorBidi" w:hAnsiTheme="majorBidi" w:cstheme="majorBidi"/>
          <w:sz w:val="20"/>
        </w:rPr>
        <w:t xml:space="preserve">Jeffrey C. Alexander and Tracy Adams, “The Return of Antisemitism? Waves of Societalization and What Conditions Them,” </w:t>
      </w:r>
      <w:r w:rsidRPr="002F0CE2">
        <w:rPr>
          <w:rFonts w:asciiTheme="majorBidi" w:hAnsiTheme="majorBidi" w:cstheme="majorBidi"/>
          <w:i/>
          <w:iCs/>
          <w:sz w:val="20"/>
        </w:rPr>
        <w:t>American Journal of Cultural Sociology</w:t>
      </w:r>
      <w:r w:rsidRPr="002F0CE2">
        <w:rPr>
          <w:rFonts w:asciiTheme="majorBidi" w:hAnsiTheme="majorBidi" w:cstheme="majorBidi"/>
          <w:sz w:val="20"/>
        </w:rPr>
        <w:t xml:space="preserve"> 11, no. 2 (June 2023): 251–268.</w:t>
      </w:r>
    </w:p>
    <w:p w14:paraId="151CC3C3" w14:textId="77777777" w:rsidR="009539F7" w:rsidRPr="002F0CE2" w:rsidRDefault="009539F7" w:rsidP="00DC6E09">
      <w:pPr>
        <w:ind w:left="720" w:hanging="720"/>
        <w:rPr>
          <w:rFonts w:asciiTheme="majorBidi" w:hAnsiTheme="majorBidi" w:cstheme="majorBidi"/>
          <w:sz w:val="20"/>
        </w:rPr>
      </w:pPr>
      <w:r w:rsidRPr="002F0CE2">
        <w:rPr>
          <w:rFonts w:asciiTheme="majorBidi" w:hAnsiTheme="majorBidi" w:cstheme="majorBidi"/>
          <w:sz w:val="20"/>
        </w:rPr>
        <w:t xml:space="preserve">Chad Alan Goldberg, “From Multiculturalism to Antisemitism? Revisiting the Jewish Question in America,” </w:t>
      </w:r>
      <w:r w:rsidRPr="002F0CE2">
        <w:rPr>
          <w:rFonts w:asciiTheme="majorBidi" w:hAnsiTheme="majorBidi" w:cstheme="majorBidi"/>
          <w:i/>
          <w:iCs/>
          <w:sz w:val="20"/>
        </w:rPr>
        <w:t>American Journal of Cultural Sociology</w:t>
      </w:r>
      <w:r w:rsidRPr="002F0CE2">
        <w:rPr>
          <w:rFonts w:asciiTheme="majorBidi" w:hAnsiTheme="majorBidi" w:cstheme="majorBidi"/>
          <w:sz w:val="20"/>
        </w:rPr>
        <w:t xml:space="preserve"> 11, no. 2 (June 2023): 269–292.</w:t>
      </w:r>
    </w:p>
    <w:p w14:paraId="26DF4794" w14:textId="0B8ED41A" w:rsidR="009539F7" w:rsidRPr="002F0CE2" w:rsidRDefault="009539F7" w:rsidP="00DC6E09">
      <w:pPr>
        <w:ind w:left="720" w:hanging="720"/>
        <w:rPr>
          <w:rFonts w:asciiTheme="majorBidi" w:hAnsiTheme="majorBidi" w:cstheme="majorBidi"/>
          <w:sz w:val="20"/>
        </w:rPr>
      </w:pPr>
      <w:r w:rsidRPr="002F0CE2">
        <w:rPr>
          <w:rFonts w:asciiTheme="majorBidi" w:hAnsiTheme="majorBidi" w:cstheme="majorBidi"/>
          <w:sz w:val="20"/>
        </w:rPr>
        <w:t xml:space="preserve">Maja Gildin Zuckerman and Jakob Egholm Feldt, “The Eternally Rescued: The Jews and the Boundaries of Danish Civility,” </w:t>
      </w:r>
      <w:r w:rsidRPr="002F0CE2">
        <w:rPr>
          <w:rFonts w:asciiTheme="majorBidi" w:hAnsiTheme="majorBidi" w:cstheme="majorBidi"/>
          <w:i/>
          <w:iCs/>
          <w:sz w:val="20"/>
        </w:rPr>
        <w:t>American Journal of Cultural Sociology</w:t>
      </w:r>
      <w:r w:rsidRPr="002F0CE2">
        <w:rPr>
          <w:rFonts w:asciiTheme="majorBidi" w:hAnsiTheme="majorBidi" w:cstheme="majorBidi"/>
          <w:sz w:val="20"/>
        </w:rPr>
        <w:t xml:space="preserve"> 11, no. 2 (June 2023): 293–315.</w:t>
      </w:r>
    </w:p>
    <w:p w14:paraId="1AC9E18A" w14:textId="77777777" w:rsidR="00F236C0" w:rsidRPr="002F0CE2" w:rsidRDefault="00F236C0" w:rsidP="00F236C0">
      <w:pPr>
        <w:rPr>
          <w:rFonts w:asciiTheme="majorBidi" w:hAnsiTheme="majorBidi" w:cstheme="majorBidi"/>
          <w:sz w:val="22"/>
          <w:szCs w:val="22"/>
        </w:rPr>
      </w:pPr>
    </w:p>
    <w:p w14:paraId="79DB6F4B" w14:textId="32CB179F" w:rsidR="00EF0869" w:rsidRPr="00C36A87" w:rsidRDefault="00D91455" w:rsidP="00EF0869">
      <w:pPr>
        <w:rPr>
          <w:b/>
          <w:bCs/>
          <w:sz w:val="22"/>
          <w:szCs w:val="22"/>
        </w:rPr>
      </w:pPr>
      <w:r w:rsidRPr="00C36A87">
        <w:rPr>
          <w:b/>
          <w:sz w:val="22"/>
          <w:szCs w:val="22"/>
        </w:rPr>
        <w:t xml:space="preserve">Nov. 21 – </w:t>
      </w:r>
      <w:r w:rsidRPr="00C36A87">
        <w:rPr>
          <w:b/>
          <w:bCs/>
          <w:sz w:val="22"/>
          <w:szCs w:val="22"/>
        </w:rPr>
        <w:t>Far-</w:t>
      </w:r>
      <w:r w:rsidR="007E128C" w:rsidRPr="00C36A87">
        <w:rPr>
          <w:b/>
          <w:bCs/>
          <w:sz w:val="22"/>
          <w:szCs w:val="22"/>
        </w:rPr>
        <w:t xml:space="preserve">right and </w:t>
      </w:r>
      <w:r w:rsidR="00427D2F">
        <w:rPr>
          <w:b/>
          <w:bCs/>
          <w:sz w:val="22"/>
          <w:szCs w:val="22"/>
        </w:rPr>
        <w:t>white-</w:t>
      </w:r>
      <w:r w:rsidR="007E128C" w:rsidRPr="00C36A87">
        <w:rPr>
          <w:b/>
          <w:bCs/>
          <w:sz w:val="22"/>
          <w:szCs w:val="22"/>
        </w:rPr>
        <w:t>supremacist</w:t>
      </w:r>
      <w:r w:rsidRPr="00C36A87">
        <w:rPr>
          <w:b/>
          <w:bCs/>
          <w:sz w:val="22"/>
          <w:szCs w:val="22"/>
        </w:rPr>
        <w:t xml:space="preserve"> a</w:t>
      </w:r>
      <w:r w:rsidR="00EF0869" w:rsidRPr="00C36A87">
        <w:rPr>
          <w:b/>
          <w:bCs/>
          <w:sz w:val="22"/>
          <w:szCs w:val="22"/>
        </w:rPr>
        <w:t>ntisemitism</w:t>
      </w:r>
    </w:p>
    <w:p w14:paraId="34A0E2DD" w14:textId="28E27008" w:rsidR="00B25524" w:rsidRPr="00C36A87" w:rsidRDefault="00B25524" w:rsidP="00875D6C">
      <w:pPr>
        <w:ind w:left="720" w:hanging="720"/>
        <w:rPr>
          <w:rFonts w:asciiTheme="majorBidi" w:hAnsiTheme="majorBidi" w:cstheme="majorBidi"/>
          <w:sz w:val="22"/>
          <w:szCs w:val="22"/>
        </w:rPr>
      </w:pPr>
      <w:r w:rsidRPr="00C36A87">
        <w:rPr>
          <w:rFonts w:asciiTheme="majorBidi" w:hAnsiTheme="majorBidi" w:cstheme="majorBidi"/>
          <w:sz w:val="22"/>
          <w:szCs w:val="22"/>
        </w:rPr>
        <w:t>Anti-Defamation League, “</w:t>
      </w:r>
      <w:hyperlink r:id="rId36" w:history="1">
        <w:r w:rsidRPr="00C36A87">
          <w:rPr>
            <w:rStyle w:val="Hyperlink"/>
            <w:rFonts w:asciiTheme="majorBidi" w:hAnsiTheme="majorBidi" w:cstheme="majorBidi"/>
            <w:sz w:val="22"/>
            <w:szCs w:val="22"/>
          </w:rPr>
          <w:t>‘The Great Replacement’: An Explainer</w:t>
        </w:r>
      </w:hyperlink>
      <w:r w:rsidR="00BD3DD1" w:rsidRPr="00C36A87">
        <w:rPr>
          <w:rFonts w:asciiTheme="majorBidi" w:hAnsiTheme="majorBidi" w:cstheme="majorBidi"/>
          <w:sz w:val="22"/>
          <w:szCs w:val="22"/>
        </w:rPr>
        <w:t>” (April 19, 2021)</w:t>
      </w:r>
      <w:r w:rsidRPr="00C36A87">
        <w:rPr>
          <w:rFonts w:asciiTheme="majorBidi" w:hAnsiTheme="majorBidi" w:cstheme="majorBidi"/>
          <w:sz w:val="22"/>
          <w:szCs w:val="22"/>
        </w:rPr>
        <w:t>.</w:t>
      </w:r>
    </w:p>
    <w:p w14:paraId="6AEC07DC" w14:textId="11F0A885" w:rsidR="00C36A87" w:rsidRPr="00C36A87" w:rsidRDefault="00C36A87" w:rsidP="00C36A87">
      <w:pPr>
        <w:ind w:left="720" w:hanging="720"/>
        <w:rPr>
          <w:rFonts w:asciiTheme="majorBidi" w:hAnsiTheme="majorBidi" w:cstheme="majorBidi"/>
          <w:sz w:val="22"/>
          <w:szCs w:val="22"/>
        </w:rPr>
      </w:pPr>
      <w:r w:rsidRPr="00C36A87">
        <w:rPr>
          <w:rFonts w:asciiTheme="majorBidi" w:hAnsiTheme="majorBidi" w:cstheme="majorBidi"/>
          <w:sz w:val="22"/>
          <w:szCs w:val="22"/>
        </w:rPr>
        <w:t xml:space="preserve">Thomas J. Main, </w:t>
      </w:r>
      <w:r w:rsidRPr="00C36A87">
        <w:rPr>
          <w:rFonts w:asciiTheme="majorBidi" w:hAnsiTheme="majorBidi" w:cstheme="majorBidi"/>
          <w:i/>
          <w:iCs/>
          <w:sz w:val="22"/>
          <w:szCs w:val="22"/>
        </w:rPr>
        <w:t>The Rise of the Alt-Right</w:t>
      </w:r>
      <w:r w:rsidRPr="00C36A87">
        <w:rPr>
          <w:rFonts w:asciiTheme="majorBidi" w:hAnsiTheme="majorBidi" w:cstheme="majorBidi"/>
          <w:sz w:val="22"/>
          <w:szCs w:val="22"/>
        </w:rPr>
        <w:t xml:space="preserve"> (Washington, DC: Brookings Institution, 2018), 33–35, 65–78.</w:t>
      </w:r>
    </w:p>
    <w:p w14:paraId="217B572D" w14:textId="30CE6517" w:rsidR="00605F86" w:rsidRPr="00C36A87" w:rsidRDefault="00080D33" w:rsidP="00875D6C">
      <w:pPr>
        <w:ind w:left="720" w:hanging="720"/>
        <w:rPr>
          <w:rFonts w:asciiTheme="majorBidi" w:hAnsiTheme="majorBidi" w:cstheme="majorBidi"/>
          <w:color w:val="000000"/>
          <w:sz w:val="22"/>
          <w:szCs w:val="22"/>
        </w:rPr>
      </w:pPr>
      <w:hyperlink r:id="rId37" w:history="1">
        <w:r w:rsidR="00605F86" w:rsidRPr="00C36A87">
          <w:rPr>
            <w:rStyle w:val="Hyperlink"/>
            <w:rFonts w:asciiTheme="majorBidi" w:hAnsiTheme="majorBidi" w:cstheme="majorBidi"/>
            <w:sz w:val="22"/>
            <w:szCs w:val="22"/>
          </w:rPr>
          <w:t>Eric K. Ward</w:t>
        </w:r>
      </w:hyperlink>
      <w:r w:rsidR="00605F86" w:rsidRPr="00C36A87">
        <w:rPr>
          <w:rFonts w:asciiTheme="majorBidi" w:hAnsiTheme="majorBidi" w:cstheme="majorBidi"/>
          <w:color w:val="000000"/>
          <w:sz w:val="22"/>
          <w:szCs w:val="22"/>
        </w:rPr>
        <w:t>, “</w:t>
      </w:r>
      <w:hyperlink r:id="rId38" w:history="1">
        <w:r w:rsidR="00605F86" w:rsidRPr="00C36A87">
          <w:rPr>
            <w:rStyle w:val="Hyperlink"/>
            <w:rFonts w:asciiTheme="majorBidi" w:hAnsiTheme="majorBidi" w:cstheme="majorBidi"/>
            <w:sz w:val="22"/>
            <w:szCs w:val="22"/>
          </w:rPr>
          <w:t>Skin in the Game: How Antisemitism Animates White Nationalism</w:t>
        </w:r>
      </w:hyperlink>
      <w:r w:rsidR="00605F86" w:rsidRPr="00C36A87">
        <w:rPr>
          <w:rFonts w:asciiTheme="majorBidi" w:hAnsiTheme="majorBidi" w:cstheme="majorBidi"/>
          <w:color w:val="000000"/>
          <w:sz w:val="22"/>
          <w:szCs w:val="22"/>
        </w:rPr>
        <w:t>” (2017)</w:t>
      </w:r>
      <w:r w:rsidR="001F1330" w:rsidRPr="00C36A87">
        <w:rPr>
          <w:rFonts w:asciiTheme="majorBidi" w:hAnsiTheme="majorBidi" w:cstheme="majorBidi"/>
          <w:color w:val="000000"/>
          <w:sz w:val="22"/>
          <w:szCs w:val="22"/>
        </w:rPr>
        <w:t>, 1–11.</w:t>
      </w:r>
    </w:p>
    <w:p w14:paraId="78AA92F7" w14:textId="7908FD31" w:rsidR="00FD6C1E" w:rsidRPr="00C36A87" w:rsidRDefault="00875D6C" w:rsidP="00063E4E">
      <w:pPr>
        <w:ind w:left="720" w:hanging="720"/>
        <w:rPr>
          <w:rFonts w:asciiTheme="majorBidi" w:hAnsiTheme="majorBidi" w:cstheme="majorBidi"/>
          <w:sz w:val="22"/>
          <w:szCs w:val="22"/>
        </w:rPr>
      </w:pPr>
      <w:r w:rsidRPr="00C36A87">
        <w:rPr>
          <w:rFonts w:asciiTheme="majorBidi" w:hAnsiTheme="majorBidi" w:cstheme="majorBidi"/>
          <w:sz w:val="22"/>
          <w:szCs w:val="22"/>
        </w:rPr>
        <w:t xml:space="preserve">Magda Teter, </w:t>
      </w:r>
      <w:r w:rsidRPr="00C36A87">
        <w:rPr>
          <w:rFonts w:asciiTheme="majorBidi" w:hAnsiTheme="majorBidi" w:cstheme="majorBidi"/>
          <w:i/>
          <w:iCs/>
          <w:sz w:val="22"/>
          <w:szCs w:val="22"/>
        </w:rPr>
        <w:t>Christian Supremacy: Reckoning with the Roots of Antisemitism and Racism</w:t>
      </w:r>
      <w:r w:rsidRPr="00C36A87">
        <w:rPr>
          <w:rFonts w:asciiTheme="majorBidi" w:hAnsiTheme="majorBidi" w:cstheme="majorBidi"/>
          <w:sz w:val="22"/>
          <w:szCs w:val="22"/>
        </w:rPr>
        <w:t xml:space="preserve"> (Princeton: Princeton University Press, 20</w:t>
      </w:r>
      <w:r w:rsidR="00063E4E" w:rsidRPr="00C36A87">
        <w:rPr>
          <w:rFonts w:asciiTheme="majorBidi" w:hAnsiTheme="majorBidi" w:cstheme="majorBidi"/>
          <w:sz w:val="22"/>
          <w:szCs w:val="22"/>
        </w:rPr>
        <w:t xml:space="preserve">23), 1–15. </w:t>
      </w:r>
      <w:r w:rsidR="00063E4E" w:rsidRPr="003C4871">
        <w:rPr>
          <w:rFonts w:asciiTheme="majorBidi" w:hAnsiTheme="majorBidi" w:cstheme="majorBidi"/>
          <w:sz w:val="22"/>
          <w:szCs w:val="22"/>
          <w:u w:val="single"/>
        </w:rPr>
        <w:t>Recommended</w:t>
      </w:r>
      <w:r w:rsidR="00063E4E" w:rsidRPr="00C36A87">
        <w:rPr>
          <w:rFonts w:asciiTheme="majorBidi" w:hAnsiTheme="majorBidi" w:cstheme="majorBidi"/>
          <w:sz w:val="22"/>
          <w:szCs w:val="22"/>
        </w:rPr>
        <w:t xml:space="preserve">: </w:t>
      </w:r>
      <w:r w:rsidRPr="00C36A87">
        <w:rPr>
          <w:rFonts w:asciiTheme="majorBidi" w:hAnsiTheme="majorBidi" w:cstheme="majorBidi"/>
          <w:sz w:val="22"/>
          <w:szCs w:val="22"/>
        </w:rPr>
        <w:t>267–286.</w:t>
      </w:r>
    </w:p>
    <w:p w14:paraId="20D80EF0" w14:textId="68E638D5" w:rsidR="00063E4E" w:rsidRPr="00C36A87" w:rsidRDefault="00063E4E" w:rsidP="00C36A87">
      <w:pPr>
        <w:ind w:left="720" w:hanging="720"/>
        <w:rPr>
          <w:sz w:val="22"/>
          <w:szCs w:val="22"/>
        </w:rPr>
      </w:pPr>
      <w:r w:rsidRPr="00C36A87">
        <w:rPr>
          <w:sz w:val="22"/>
          <w:szCs w:val="22"/>
        </w:rPr>
        <w:t xml:space="preserve">George Hawley, </w:t>
      </w:r>
      <w:r w:rsidRPr="00C36A87">
        <w:rPr>
          <w:i/>
          <w:iCs/>
          <w:sz w:val="22"/>
          <w:szCs w:val="22"/>
        </w:rPr>
        <w:t>Making Sense of the Alt-Right</w:t>
      </w:r>
      <w:r w:rsidRPr="00C36A87">
        <w:rPr>
          <w:sz w:val="22"/>
          <w:szCs w:val="22"/>
        </w:rPr>
        <w:t xml:space="preserve"> (New York: Columbia University Press, 2017), 100–105.</w:t>
      </w:r>
    </w:p>
    <w:p w14:paraId="6C590304" w14:textId="77777777" w:rsidR="00EF0869" w:rsidRPr="005066C0" w:rsidRDefault="00EF0869" w:rsidP="00973DD9">
      <w:pPr>
        <w:rPr>
          <w:rFonts w:asciiTheme="majorBidi" w:hAnsiTheme="majorBidi" w:cstheme="majorBidi"/>
          <w:sz w:val="20"/>
        </w:rPr>
      </w:pPr>
    </w:p>
    <w:p w14:paraId="1674DAF9" w14:textId="4164FD51" w:rsidR="00B25524" w:rsidRPr="00B25524" w:rsidRDefault="00DE0828" w:rsidP="005066C0">
      <w:pPr>
        <w:ind w:left="720" w:hanging="720"/>
        <w:rPr>
          <w:rFonts w:asciiTheme="majorBidi" w:hAnsiTheme="majorBidi" w:cstheme="majorBidi"/>
          <w:sz w:val="20"/>
        </w:rPr>
      </w:pPr>
      <w:r w:rsidRPr="00B25524">
        <w:rPr>
          <w:rFonts w:asciiTheme="majorBidi" w:hAnsiTheme="majorBidi" w:cstheme="majorBidi"/>
          <w:sz w:val="20"/>
          <w:u w:val="single"/>
        </w:rPr>
        <w:t>Recommended</w:t>
      </w:r>
      <w:r w:rsidRPr="00B25524">
        <w:rPr>
          <w:rFonts w:asciiTheme="majorBidi" w:hAnsiTheme="majorBidi" w:cstheme="majorBidi"/>
          <w:sz w:val="20"/>
        </w:rPr>
        <w:t>:</w:t>
      </w:r>
      <w:r w:rsidR="005066C0">
        <w:rPr>
          <w:rFonts w:asciiTheme="majorBidi" w:hAnsiTheme="majorBidi" w:cstheme="majorBidi"/>
          <w:sz w:val="20"/>
        </w:rPr>
        <w:t xml:space="preserve"> </w:t>
      </w:r>
      <w:r w:rsidR="00B25524" w:rsidRPr="00B25524">
        <w:rPr>
          <w:rFonts w:asciiTheme="majorBidi" w:hAnsiTheme="majorBidi" w:cstheme="majorBidi"/>
          <w:sz w:val="20"/>
        </w:rPr>
        <w:t>Anti-Defamation League, “</w:t>
      </w:r>
      <w:hyperlink r:id="rId39" w:history="1">
        <w:r w:rsidR="00B25524" w:rsidRPr="008B7D50">
          <w:rPr>
            <w:rStyle w:val="Hyperlink"/>
            <w:rFonts w:asciiTheme="majorBidi" w:hAnsiTheme="majorBidi" w:cstheme="majorBidi"/>
            <w:sz w:val="20"/>
          </w:rPr>
          <w:t>U.S. White Supremacist Propaganda Remained at Historic Levels in 2021, with 27 Percent Rise in Antisemitic Messaging</w:t>
        </w:r>
      </w:hyperlink>
      <w:r w:rsidR="00B25524" w:rsidRPr="00B25524">
        <w:rPr>
          <w:rFonts w:asciiTheme="majorBidi" w:hAnsiTheme="majorBidi" w:cstheme="majorBidi"/>
          <w:sz w:val="20"/>
        </w:rPr>
        <w:t>” (March 2, 2022), pp. 1–11.</w:t>
      </w:r>
    </w:p>
    <w:p w14:paraId="3B93FFFE" w14:textId="77777777" w:rsidR="00DE0828" w:rsidRPr="002F0CE2" w:rsidRDefault="00DE0828" w:rsidP="00973DD9">
      <w:pPr>
        <w:rPr>
          <w:rFonts w:asciiTheme="majorBidi" w:hAnsiTheme="majorBidi" w:cstheme="majorBidi"/>
          <w:sz w:val="22"/>
          <w:szCs w:val="22"/>
        </w:rPr>
      </w:pPr>
    </w:p>
    <w:p w14:paraId="1FC7B5F2" w14:textId="77777777" w:rsidR="00D91455" w:rsidRPr="002F0CE2" w:rsidRDefault="00D91455" w:rsidP="00D91455">
      <w:pPr>
        <w:spacing w:line="247" w:lineRule="exact"/>
        <w:jc w:val="center"/>
        <w:rPr>
          <w:b/>
          <w:bCs/>
          <w:szCs w:val="24"/>
        </w:rPr>
      </w:pPr>
      <w:r w:rsidRPr="002F0CE2">
        <w:rPr>
          <w:b/>
          <w:bCs/>
          <w:szCs w:val="24"/>
        </w:rPr>
        <w:t xml:space="preserve">*** </w:t>
      </w:r>
      <w:r w:rsidRPr="002F0CE2">
        <w:rPr>
          <w:rFonts w:ascii="Times New Roman Bold" w:hAnsi="Times New Roman Bold"/>
          <w:b/>
          <w:bCs/>
          <w:caps/>
          <w:szCs w:val="24"/>
          <w:u w:val="single"/>
        </w:rPr>
        <w:t>Thanksgiving recess, Nov. 23–26, 2023</w:t>
      </w:r>
      <w:r w:rsidRPr="002F0CE2">
        <w:rPr>
          <w:b/>
          <w:bCs/>
          <w:szCs w:val="24"/>
        </w:rPr>
        <w:t xml:space="preserve"> ***</w:t>
      </w:r>
    </w:p>
    <w:p w14:paraId="33158003" w14:textId="77777777" w:rsidR="007968B8" w:rsidRPr="002F0CE2" w:rsidRDefault="007968B8" w:rsidP="00973DD9">
      <w:pPr>
        <w:rPr>
          <w:rFonts w:asciiTheme="majorBidi" w:hAnsiTheme="majorBidi" w:cstheme="majorBidi"/>
          <w:sz w:val="22"/>
          <w:szCs w:val="22"/>
        </w:rPr>
      </w:pPr>
    </w:p>
    <w:p w14:paraId="652C02A1" w14:textId="31073B4A" w:rsidR="00FB1581" w:rsidRPr="002F0CE2" w:rsidRDefault="00D91455" w:rsidP="00FB1581">
      <w:pPr>
        <w:rPr>
          <w:b/>
          <w:bCs/>
          <w:sz w:val="22"/>
          <w:szCs w:val="22"/>
        </w:rPr>
      </w:pPr>
      <w:r w:rsidRPr="002F0CE2">
        <w:rPr>
          <w:b/>
          <w:sz w:val="22"/>
          <w:szCs w:val="22"/>
        </w:rPr>
        <w:t xml:space="preserve">Nov. 28 – </w:t>
      </w:r>
      <w:r w:rsidR="007E128C" w:rsidRPr="002F0CE2">
        <w:rPr>
          <w:b/>
          <w:bCs/>
          <w:sz w:val="22"/>
          <w:szCs w:val="22"/>
        </w:rPr>
        <w:t>Left-wing a</w:t>
      </w:r>
      <w:r w:rsidR="00FB1581" w:rsidRPr="002F0CE2">
        <w:rPr>
          <w:b/>
          <w:bCs/>
          <w:sz w:val="22"/>
          <w:szCs w:val="22"/>
        </w:rPr>
        <w:t>ntisemitism</w:t>
      </w:r>
    </w:p>
    <w:p w14:paraId="57028636" w14:textId="6C53C33B" w:rsidR="005044A3" w:rsidRPr="007D312C" w:rsidRDefault="005044A3" w:rsidP="00C80540">
      <w:pPr>
        <w:spacing w:line="239" w:lineRule="auto"/>
        <w:ind w:left="720" w:right="260" w:hanging="719"/>
        <w:rPr>
          <w:b/>
          <w:bCs/>
          <w:sz w:val="22"/>
          <w:szCs w:val="22"/>
        </w:rPr>
      </w:pPr>
      <w:r w:rsidRPr="007D312C">
        <w:rPr>
          <w:b/>
          <w:bCs/>
          <w:color w:val="FF0000"/>
          <w:sz w:val="22"/>
          <w:szCs w:val="22"/>
        </w:rPr>
        <w:t>Prospectus (for graduate students) due</w:t>
      </w:r>
      <w:r w:rsidR="007D312C" w:rsidRPr="007D312C">
        <w:rPr>
          <w:b/>
          <w:bCs/>
          <w:color w:val="FF0000"/>
          <w:sz w:val="22"/>
          <w:szCs w:val="22"/>
        </w:rPr>
        <w:t xml:space="preserve"> (</w:t>
      </w:r>
      <w:r w:rsidR="007D312C">
        <w:rPr>
          <w:b/>
          <w:bCs/>
          <w:color w:val="FF0000"/>
          <w:sz w:val="22"/>
          <w:szCs w:val="22"/>
        </w:rPr>
        <w:t>1–</w:t>
      </w:r>
      <w:r w:rsidR="007D312C" w:rsidRPr="007D312C">
        <w:rPr>
          <w:b/>
          <w:bCs/>
          <w:color w:val="FF0000"/>
          <w:sz w:val="22"/>
          <w:szCs w:val="22"/>
        </w:rPr>
        <w:t>2 pages)</w:t>
      </w:r>
    </w:p>
    <w:p w14:paraId="766A973A" w14:textId="42717B4B" w:rsidR="00DE7655" w:rsidRDefault="00723F45" w:rsidP="00723F45">
      <w:pPr>
        <w:ind w:left="720" w:hanging="720"/>
        <w:rPr>
          <w:bCs/>
          <w:sz w:val="22"/>
          <w:szCs w:val="22"/>
        </w:rPr>
      </w:pPr>
      <w:r w:rsidRPr="00723F45">
        <w:rPr>
          <w:bCs/>
          <w:sz w:val="22"/>
          <w:szCs w:val="22"/>
        </w:rPr>
        <w:t xml:space="preserve">David Hirsh, </w:t>
      </w:r>
      <w:r w:rsidRPr="00723F45">
        <w:rPr>
          <w:bCs/>
          <w:i/>
          <w:iCs/>
          <w:sz w:val="22"/>
          <w:szCs w:val="22"/>
        </w:rPr>
        <w:t>Contemporary Left Antisemitism</w:t>
      </w:r>
      <w:r w:rsidRPr="00723F45">
        <w:rPr>
          <w:bCs/>
          <w:sz w:val="22"/>
          <w:szCs w:val="22"/>
        </w:rPr>
        <w:t xml:space="preserve"> (New York: Routledge, 2017)</w:t>
      </w:r>
      <w:r>
        <w:rPr>
          <w:bCs/>
          <w:sz w:val="22"/>
          <w:szCs w:val="22"/>
        </w:rPr>
        <w:t>, 1–10, 135–153, 184–219.</w:t>
      </w:r>
    </w:p>
    <w:p w14:paraId="7A9BB4BC" w14:textId="54A4191A" w:rsidR="00723F45" w:rsidRDefault="00723F45" w:rsidP="007F49B5">
      <w:pPr>
        <w:ind w:left="720" w:hanging="720"/>
        <w:rPr>
          <w:sz w:val="22"/>
          <w:szCs w:val="22"/>
        </w:rPr>
      </w:pPr>
      <w:r w:rsidRPr="002F0CE2">
        <w:rPr>
          <w:sz w:val="22"/>
          <w:szCs w:val="22"/>
        </w:rPr>
        <w:t>Fine and Spencer</w:t>
      </w:r>
      <w:r>
        <w:rPr>
          <w:sz w:val="22"/>
          <w:szCs w:val="22"/>
        </w:rPr>
        <w:t xml:space="preserve">, </w:t>
      </w:r>
      <w:hyperlink r:id="rId40" w:history="1">
        <w:r w:rsidRPr="007F49B5">
          <w:rPr>
            <w:rStyle w:val="Hyperlink"/>
            <w:i/>
            <w:iCs/>
            <w:sz w:val="22"/>
            <w:szCs w:val="22"/>
          </w:rPr>
          <w:t>Antisemitism and the Left</w:t>
        </w:r>
      </w:hyperlink>
      <w:r w:rsidR="007F49B5">
        <w:rPr>
          <w:sz w:val="22"/>
          <w:szCs w:val="22"/>
        </w:rPr>
        <w:t>, 1–14, 111–129.</w:t>
      </w:r>
    </w:p>
    <w:p w14:paraId="723875B7" w14:textId="77777777" w:rsidR="00DE7655" w:rsidRPr="00861D71" w:rsidRDefault="00DE7655" w:rsidP="00FB1581">
      <w:pPr>
        <w:rPr>
          <w:bCs/>
          <w:sz w:val="20"/>
        </w:rPr>
      </w:pPr>
    </w:p>
    <w:p w14:paraId="47C1850D" w14:textId="36C91C4E" w:rsidR="00861D71" w:rsidRPr="00861D71" w:rsidRDefault="002D6A20" w:rsidP="00FB1581">
      <w:pPr>
        <w:rPr>
          <w:bCs/>
          <w:sz w:val="20"/>
        </w:rPr>
      </w:pPr>
      <w:r w:rsidRPr="00861D71">
        <w:rPr>
          <w:bCs/>
          <w:sz w:val="20"/>
          <w:u w:val="single"/>
        </w:rPr>
        <w:t>Recommended</w:t>
      </w:r>
      <w:r w:rsidR="00861D71" w:rsidRPr="00861D71">
        <w:rPr>
          <w:bCs/>
          <w:sz w:val="20"/>
        </w:rPr>
        <w:t>:</w:t>
      </w:r>
    </w:p>
    <w:p w14:paraId="5C4FA05F" w14:textId="421C67D2" w:rsidR="00861D71" w:rsidRDefault="00861D71" w:rsidP="00BE4E96">
      <w:pPr>
        <w:ind w:left="720" w:hanging="720"/>
        <w:rPr>
          <w:bCs/>
          <w:sz w:val="20"/>
        </w:rPr>
      </w:pPr>
      <w:r w:rsidRPr="00861D71">
        <w:rPr>
          <w:bCs/>
          <w:sz w:val="20"/>
        </w:rPr>
        <w:t xml:space="preserve">William Brustein, </w:t>
      </w:r>
      <w:hyperlink r:id="rId41" w:history="1">
        <w:r w:rsidRPr="00861D71">
          <w:rPr>
            <w:rStyle w:val="Hyperlink"/>
            <w:bCs/>
            <w:i/>
            <w:iCs/>
            <w:sz w:val="20"/>
          </w:rPr>
          <w:t>The Socialism of Fools?: Leftist Origins of Modern Anti-Semitism</w:t>
        </w:r>
      </w:hyperlink>
      <w:r w:rsidRPr="00861D71">
        <w:rPr>
          <w:bCs/>
          <w:sz w:val="20"/>
        </w:rPr>
        <w:t xml:space="preserve"> (New York: Cambridge, 2015).</w:t>
      </w:r>
    </w:p>
    <w:p w14:paraId="4F9C6269" w14:textId="468F0E4B" w:rsidR="00460C2D" w:rsidRPr="00861D71" w:rsidRDefault="00460C2D" w:rsidP="00861D71">
      <w:pPr>
        <w:ind w:left="720" w:hanging="720"/>
        <w:rPr>
          <w:bCs/>
          <w:sz w:val="20"/>
        </w:rPr>
      </w:pPr>
      <w:r w:rsidRPr="00460C2D">
        <w:rPr>
          <w:bCs/>
          <w:sz w:val="20"/>
        </w:rPr>
        <w:t xml:space="preserve">Michele Battini, </w:t>
      </w:r>
      <w:hyperlink r:id="rId42" w:history="1">
        <w:r w:rsidRPr="008108E5">
          <w:rPr>
            <w:rStyle w:val="Hyperlink"/>
            <w:bCs/>
            <w:i/>
            <w:iCs/>
            <w:sz w:val="20"/>
          </w:rPr>
          <w:t>Socialism of Fools: Capitalism and Modern Anti-Semitism</w:t>
        </w:r>
      </w:hyperlink>
      <w:r w:rsidRPr="00460C2D">
        <w:rPr>
          <w:bCs/>
          <w:sz w:val="20"/>
        </w:rPr>
        <w:t>, trans. Noor Mazhar and Isabella Vergnano (New York: Columbia University Press, [2010] 2016).</w:t>
      </w:r>
    </w:p>
    <w:p w14:paraId="05473745" w14:textId="661A0C2D" w:rsidR="002D6A20" w:rsidRPr="00861D71" w:rsidRDefault="00080D33" w:rsidP="00861D71">
      <w:pPr>
        <w:ind w:left="720" w:hanging="720"/>
        <w:rPr>
          <w:bCs/>
          <w:sz w:val="20"/>
        </w:rPr>
      </w:pPr>
      <w:hyperlink r:id="rId43" w:history="1">
        <w:r w:rsidR="002D6A20" w:rsidRPr="00861D71">
          <w:rPr>
            <w:rStyle w:val="Hyperlink"/>
            <w:bCs/>
            <w:sz w:val="20"/>
          </w:rPr>
          <w:t>IHRA Working Definition of Antisemitism</w:t>
        </w:r>
      </w:hyperlink>
      <w:r w:rsidR="002D6A20" w:rsidRPr="00861D71">
        <w:rPr>
          <w:bCs/>
          <w:sz w:val="20"/>
        </w:rPr>
        <w:t xml:space="preserve"> (2016).</w:t>
      </w:r>
    </w:p>
    <w:p w14:paraId="4454584C" w14:textId="72CC47E1" w:rsidR="00861D71" w:rsidRPr="002D6A20" w:rsidRDefault="00861D71" w:rsidP="00861D71">
      <w:pPr>
        <w:ind w:left="720" w:hanging="720"/>
        <w:rPr>
          <w:bCs/>
          <w:sz w:val="20"/>
        </w:rPr>
      </w:pPr>
      <w:r w:rsidRPr="00861D71">
        <w:rPr>
          <w:sz w:val="20"/>
        </w:rPr>
        <w:t xml:space="preserve">Sina Arnold, </w:t>
      </w:r>
      <w:hyperlink r:id="rId44" w:history="1">
        <w:r w:rsidRPr="00861D71">
          <w:rPr>
            <w:rStyle w:val="Hyperlink"/>
            <w:i/>
            <w:iCs/>
            <w:sz w:val="20"/>
          </w:rPr>
          <w:t>From Occupation to Occupy: Antisemitism and the Contemporary American Left</w:t>
        </w:r>
      </w:hyperlink>
      <w:r w:rsidRPr="00861D71">
        <w:rPr>
          <w:sz w:val="20"/>
        </w:rPr>
        <w:t>, trans. J. Blumenfeld (Bloomington: Indiana University Press, [2017] 2022).</w:t>
      </w:r>
    </w:p>
    <w:p w14:paraId="0305818A" w14:textId="77777777" w:rsidR="002D6A20" w:rsidRPr="00DE7655" w:rsidRDefault="002D6A20" w:rsidP="00FB1581">
      <w:pPr>
        <w:rPr>
          <w:bCs/>
          <w:sz w:val="22"/>
          <w:szCs w:val="22"/>
        </w:rPr>
      </w:pPr>
    </w:p>
    <w:p w14:paraId="5FF0E634" w14:textId="089D6B17" w:rsidR="00D91455" w:rsidRPr="002F0CE2" w:rsidRDefault="00D91455" w:rsidP="00FB1581">
      <w:pPr>
        <w:rPr>
          <w:b/>
          <w:bCs/>
          <w:sz w:val="22"/>
          <w:szCs w:val="22"/>
        </w:rPr>
      </w:pPr>
      <w:r w:rsidRPr="002F0CE2">
        <w:rPr>
          <w:b/>
          <w:sz w:val="22"/>
          <w:szCs w:val="22"/>
        </w:rPr>
        <w:t xml:space="preserve">Nov. 30 – </w:t>
      </w:r>
      <w:r w:rsidR="00723F45" w:rsidRPr="002F0CE2">
        <w:rPr>
          <w:b/>
          <w:bCs/>
          <w:sz w:val="22"/>
          <w:szCs w:val="22"/>
        </w:rPr>
        <w:t>Left-wing antisemitism</w:t>
      </w:r>
      <w:r w:rsidR="00723F45">
        <w:rPr>
          <w:b/>
          <w:bCs/>
          <w:sz w:val="22"/>
          <w:szCs w:val="22"/>
        </w:rPr>
        <w:t xml:space="preserve"> (cont’d)</w:t>
      </w:r>
    </w:p>
    <w:p w14:paraId="646DCC01" w14:textId="1837B71C" w:rsidR="00FB1581" w:rsidRPr="002F0CE2" w:rsidRDefault="00FB1581" w:rsidP="00723F45">
      <w:pPr>
        <w:ind w:left="720" w:hanging="720"/>
        <w:rPr>
          <w:sz w:val="22"/>
          <w:szCs w:val="22"/>
        </w:rPr>
      </w:pPr>
      <w:r w:rsidRPr="002F0CE2">
        <w:rPr>
          <w:sz w:val="22"/>
          <w:szCs w:val="22"/>
        </w:rPr>
        <w:t xml:space="preserve">Hirsh, </w:t>
      </w:r>
      <w:r w:rsidRPr="002F0CE2">
        <w:rPr>
          <w:i/>
          <w:iCs/>
          <w:sz w:val="22"/>
          <w:szCs w:val="22"/>
        </w:rPr>
        <w:t>Contemporary Left Antisemitism</w:t>
      </w:r>
      <w:r w:rsidR="005A7EFE" w:rsidRPr="002F0CE2">
        <w:rPr>
          <w:sz w:val="22"/>
          <w:szCs w:val="22"/>
        </w:rPr>
        <w:t>,</w:t>
      </w:r>
      <w:r w:rsidR="00723F45">
        <w:rPr>
          <w:sz w:val="22"/>
          <w:szCs w:val="22"/>
        </w:rPr>
        <w:t xml:space="preserve"> 40–94</w:t>
      </w:r>
      <w:r w:rsidRPr="002F0CE2">
        <w:rPr>
          <w:sz w:val="22"/>
          <w:szCs w:val="22"/>
        </w:rPr>
        <w:t>.</w:t>
      </w:r>
    </w:p>
    <w:p w14:paraId="741EDA21" w14:textId="3933EDD4" w:rsidR="00442BAB" w:rsidRDefault="00C77FC4" w:rsidP="00967F56">
      <w:pPr>
        <w:ind w:left="720" w:hanging="720"/>
        <w:rPr>
          <w:sz w:val="22"/>
          <w:szCs w:val="22"/>
        </w:rPr>
      </w:pPr>
      <w:r w:rsidRPr="00C77FC4">
        <w:rPr>
          <w:sz w:val="22"/>
          <w:szCs w:val="22"/>
        </w:rPr>
        <w:t xml:space="preserve">Sina Arnold, “From Occupation to Occupy: Antisemitism and the Contemporary Left in the United States,” in </w:t>
      </w:r>
      <w:hyperlink r:id="rId45" w:history="1">
        <w:r w:rsidRPr="00C77FC4">
          <w:rPr>
            <w:rStyle w:val="Hyperlink"/>
            <w:i/>
            <w:iCs/>
            <w:sz w:val="22"/>
            <w:szCs w:val="22"/>
          </w:rPr>
          <w:t>Deciphering the New Antisemitism</w:t>
        </w:r>
      </w:hyperlink>
      <w:r w:rsidRPr="00C77FC4">
        <w:rPr>
          <w:sz w:val="22"/>
          <w:szCs w:val="22"/>
        </w:rPr>
        <w:t>, ed. Alvin H. Rosenfeld (Bloomington: Indiana Un</w:t>
      </w:r>
      <w:r w:rsidR="00723F45">
        <w:rPr>
          <w:sz w:val="22"/>
          <w:szCs w:val="22"/>
        </w:rPr>
        <w:t>iversity Press, 2015), 375–</w:t>
      </w:r>
      <w:r w:rsidR="00967F56">
        <w:rPr>
          <w:sz w:val="22"/>
          <w:szCs w:val="22"/>
        </w:rPr>
        <w:t>404.</w:t>
      </w:r>
    </w:p>
    <w:p w14:paraId="485A3FBF" w14:textId="77777777" w:rsidR="00FB1581" w:rsidRPr="002F0CE2" w:rsidRDefault="00FB1581" w:rsidP="00FB1581">
      <w:pPr>
        <w:rPr>
          <w:sz w:val="22"/>
          <w:szCs w:val="22"/>
        </w:rPr>
      </w:pPr>
    </w:p>
    <w:p w14:paraId="6808EF2E" w14:textId="4617A774" w:rsidR="00D91455" w:rsidRPr="002F0CE2" w:rsidRDefault="00D91455" w:rsidP="00D91455">
      <w:pPr>
        <w:rPr>
          <w:b/>
          <w:bCs/>
          <w:sz w:val="22"/>
          <w:szCs w:val="22"/>
        </w:rPr>
      </w:pPr>
      <w:r w:rsidRPr="002F0CE2">
        <w:rPr>
          <w:b/>
          <w:sz w:val="22"/>
          <w:szCs w:val="22"/>
        </w:rPr>
        <w:t xml:space="preserve">Dec. 5 – </w:t>
      </w:r>
      <w:r w:rsidR="007E128C" w:rsidRPr="002F0CE2">
        <w:rPr>
          <w:b/>
          <w:bCs/>
          <w:sz w:val="22"/>
          <w:szCs w:val="22"/>
        </w:rPr>
        <w:t>Muslim a</w:t>
      </w:r>
      <w:r w:rsidRPr="002F0CE2">
        <w:rPr>
          <w:b/>
          <w:bCs/>
          <w:sz w:val="22"/>
          <w:szCs w:val="22"/>
        </w:rPr>
        <w:t xml:space="preserve">ntisemitism </w:t>
      </w:r>
      <w:r w:rsidRPr="00734878">
        <w:rPr>
          <w:b/>
          <w:bCs/>
          <w:sz w:val="22"/>
          <w:szCs w:val="22"/>
        </w:rPr>
        <w:t>in Europe</w:t>
      </w:r>
    </w:p>
    <w:p w14:paraId="7B5EB2DF" w14:textId="1EF07C06" w:rsidR="00D21230" w:rsidRPr="000937AE" w:rsidRDefault="00D21230" w:rsidP="00734878">
      <w:pPr>
        <w:ind w:left="720" w:hanging="720"/>
        <w:rPr>
          <w:sz w:val="22"/>
          <w:szCs w:val="22"/>
        </w:rPr>
      </w:pPr>
      <w:r w:rsidRPr="000937AE">
        <w:rPr>
          <w:sz w:val="22"/>
          <w:szCs w:val="22"/>
        </w:rPr>
        <w:t xml:space="preserve">Günther Jikeli, </w:t>
      </w:r>
      <w:hyperlink r:id="rId46" w:history="1">
        <w:r w:rsidRPr="000937AE">
          <w:rPr>
            <w:rStyle w:val="Hyperlink"/>
            <w:i/>
            <w:iCs/>
            <w:sz w:val="22"/>
            <w:szCs w:val="22"/>
          </w:rPr>
          <w:t>European Muslim Antisemitism: Why Yo</w:t>
        </w:r>
        <w:r w:rsidR="00CD7588" w:rsidRPr="000937AE">
          <w:rPr>
            <w:rStyle w:val="Hyperlink"/>
            <w:i/>
            <w:iCs/>
            <w:sz w:val="22"/>
            <w:szCs w:val="22"/>
          </w:rPr>
          <w:t>ung Urban Males Say They Don’t L</w:t>
        </w:r>
        <w:r w:rsidRPr="000937AE">
          <w:rPr>
            <w:rStyle w:val="Hyperlink"/>
            <w:i/>
            <w:iCs/>
            <w:sz w:val="22"/>
            <w:szCs w:val="22"/>
          </w:rPr>
          <w:t>ike Jews</w:t>
        </w:r>
      </w:hyperlink>
      <w:r w:rsidRPr="000937AE">
        <w:rPr>
          <w:sz w:val="22"/>
          <w:szCs w:val="22"/>
        </w:rPr>
        <w:t xml:space="preserve"> (Bloomington: Indiana University Press, 2015), 1–</w:t>
      </w:r>
      <w:r w:rsidR="00734878" w:rsidRPr="000937AE">
        <w:rPr>
          <w:sz w:val="22"/>
          <w:szCs w:val="22"/>
        </w:rPr>
        <w:t>24, 32–55, 77–80</w:t>
      </w:r>
      <w:r w:rsidRPr="000937AE">
        <w:rPr>
          <w:sz w:val="22"/>
          <w:szCs w:val="22"/>
        </w:rPr>
        <w:t>.</w:t>
      </w:r>
      <w:r w:rsidR="000937AE" w:rsidRPr="000937AE">
        <w:rPr>
          <w:sz w:val="22"/>
          <w:szCs w:val="22"/>
        </w:rPr>
        <w:t xml:space="preserve"> </w:t>
      </w:r>
      <w:r w:rsidR="000937AE" w:rsidRPr="00BE4E96">
        <w:rPr>
          <w:sz w:val="22"/>
          <w:szCs w:val="22"/>
          <w:u w:val="single"/>
        </w:rPr>
        <w:t>Recommended</w:t>
      </w:r>
      <w:r w:rsidR="000937AE" w:rsidRPr="000937AE">
        <w:rPr>
          <w:sz w:val="22"/>
          <w:szCs w:val="22"/>
        </w:rPr>
        <w:t xml:space="preserve">: </w:t>
      </w:r>
      <w:r w:rsidR="000937AE" w:rsidRPr="000937AE">
        <w:rPr>
          <w:rFonts w:asciiTheme="majorBidi" w:hAnsiTheme="majorBidi" w:cstheme="majorBidi"/>
          <w:sz w:val="22"/>
          <w:szCs w:val="22"/>
        </w:rPr>
        <w:t>25–31.</w:t>
      </w:r>
    </w:p>
    <w:p w14:paraId="7A01F184" w14:textId="77777777" w:rsidR="00D21230" w:rsidRPr="00D21230" w:rsidRDefault="00D21230" w:rsidP="00FB1581">
      <w:pPr>
        <w:rPr>
          <w:bCs/>
          <w:sz w:val="22"/>
          <w:szCs w:val="22"/>
        </w:rPr>
      </w:pPr>
    </w:p>
    <w:p w14:paraId="5DEC06D6" w14:textId="385E16D9" w:rsidR="00D91455" w:rsidRPr="002F0CE2" w:rsidRDefault="00D91455" w:rsidP="00FB1581">
      <w:pPr>
        <w:rPr>
          <w:sz w:val="22"/>
          <w:szCs w:val="22"/>
        </w:rPr>
      </w:pPr>
      <w:r w:rsidRPr="002F0CE2">
        <w:rPr>
          <w:b/>
          <w:sz w:val="22"/>
          <w:szCs w:val="22"/>
        </w:rPr>
        <w:t xml:space="preserve">Dec. 7 – </w:t>
      </w:r>
      <w:r w:rsidR="00734878" w:rsidRPr="002F0CE2">
        <w:rPr>
          <w:b/>
          <w:bCs/>
          <w:sz w:val="22"/>
          <w:szCs w:val="22"/>
        </w:rPr>
        <w:t xml:space="preserve">Muslim antisemitism </w:t>
      </w:r>
      <w:r w:rsidR="00734878" w:rsidRPr="00734878">
        <w:rPr>
          <w:b/>
          <w:bCs/>
          <w:sz w:val="22"/>
          <w:szCs w:val="22"/>
        </w:rPr>
        <w:t>in Europe</w:t>
      </w:r>
      <w:r w:rsidR="00734878">
        <w:rPr>
          <w:b/>
          <w:bCs/>
          <w:sz w:val="22"/>
          <w:szCs w:val="22"/>
        </w:rPr>
        <w:t xml:space="preserve"> (cont’d)</w:t>
      </w:r>
    </w:p>
    <w:p w14:paraId="102F0B90" w14:textId="4F5D81DD" w:rsidR="00EF0869" w:rsidRPr="000937AE" w:rsidRDefault="00A479EB" w:rsidP="000937AE">
      <w:pPr>
        <w:ind w:left="720" w:hanging="720"/>
        <w:rPr>
          <w:sz w:val="22"/>
          <w:szCs w:val="22"/>
        </w:rPr>
      </w:pPr>
      <w:r w:rsidRPr="000937AE">
        <w:rPr>
          <w:sz w:val="22"/>
          <w:szCs w:val="22"/>
        </w:rPr>
        <w:t xml:space="preserve">Jikeli, </w:t>
      </w:r>
      <w:hyperlink r:id="rId47" w:history="1">
        <w:r w:rsidRPr="000937AE">
          <w:rPr>
            <w:rStyle w:val="Hyperlink"/>
            <w:i/>
            <w:iCs/>
            <w:sz w:val="22"/>
            <w:szCs w:val="22"/>
          </w:rPr>
          <w:t>European Muslim Antisemitism</w:t>
        </w:r>
      </w:hyperlink>
      <w:r w:rsidRPr="000937AE">
        <w:rPr>
          <w:sz w:val="22"/>
          <w:szCs w:val="22"/>
        </w:rPr>
        <w:t>,</w:t>
      </w:r>
      <w:r w:rsidR="00734878" w:rsidRPr="000937AE">
        <w:rPr>
          <w:sz w:val="22"/>
          <w:szCs w:val="22"/>
        </w:rPr>
        <w:t xml:space="preserve"> 216–281</w:t>
      </w:r>
      <w:r w:rsidR="00EF0869" w:rsidRPr="000937AE">
        <w:rPr>
          <w:sz w:val="22"/>
          <w:szCs w:val="22"/>
        </w:rPr>
        <w:t>.</w:t>
      </w:r>
      <w:r w:rsidR="00734878" w:rsidRPr="000937AE">
        <w:rPr>
          <w:sz w:val="22"/>
          <w:szCs w:val="22"/>
        </w:rPr>
        <w:t xml:space="preserve"> The </w:t>
      </w:r>
      <w:r w:rsidR="000937AE" w:rsidRPr="000937AE">
        <w:rPr>
          <w:sz w:val="22"/>
          <w:szCs w:val="22"/>
        </w:rPr>
        <w:t>rest of the book is recommended</w:t>
      </w:r>
      <w:r w:rsidR="000937AE" w:rsidRPr="000937AE">
        <w:rPr>
          <w:rFonts w:asciiTheme="majorBidi" w:hAnsiTheme="majorBidi" w:cstheme="majorBidi"/>
          <w:sz w:val="22"/>
          <w:szCs w:val="22"/>
        </w:rPr>
        <w:t>.</w:t>
      </w:r>
    </w:p>
    <w:p w14:paraId="77DB5D7D" w14:textId="77777777" w:rsidR="00EF0869" w:rsidRPr="00734878" w:rsidRDefault="00EF0869" w:rsidP="00EF0869">
      <w:pPr>
        <w:rPr>
          <w:sz w:val="20"/>
        </w:rPr>
      </w:pPr>
    </w:p>
    <w:p w14:paraId="0C9F5389" w14:textId="5924D542" w:rsidR="00734878" w:rsidRPr="00734878" w:rsidRDefault="00734878" w:rsidP="00EF0869">
      <w:pPr>
        <w:rPr>
          <w:sz w:val="20"/>
        </w:rPr>
      </w:pPr>
      <w:r w:rsidRPr="00734878">
        <w:rPr>
          <w:sz w:val="20"/>
          <w:u w:val="single"/>
        </w:rPr>
        <w:t>Recommended</w:t>
      </w:r>
      <w:r w:rsidRPr="00734878">
        <w:rPr>
          <w:sz w:val="20"/>
        </w:rPr>
        <w:t>:</w:t>
      </w:r>
    </w:p>
    <w:p w14:paraId="4D8A4FE5" w14:textId="0D7782CF" w:rsidR="00734878" w:rsidRPr="00B412B4" w:rsidRDefault="00734878" w:rsidP="00BE4E96">
      <w:pPr>
        <w:ind w:left="720" w:hanging="720"/>
        <w:rPr>
          <w:sz w:val="20"/>
        </w:rPr>
      </w:pPr>
      <w:r w:rsidRPr="00B412B4">
        <w:rPr>
          <w:sz w:val="20"/>
        </w:rPr>
        <w:t xml:space="preserve">Muslim Antisemitism: Recycling Old Myths, in </w:t>
      </w:r>
      <w:r w:rsidRPr="00B412B4">
        <w:rPr>
          <w:i/>
          <w:iCs/>
          <w:sz w:val="20"/>
        </w:rPr>
        <w:t>Antisemitic Myths: A Historical and Contemporary Anthology</w:t>
      </w:r>
      <w:r w:rsidRPr="00B412B4">
        <w:rPr>
          <w:sz w:val="20"/>
        </w:rPr>
        <w:t xml:space="preserve">, eds. </w:t>
      </w:r>
      <w:r w:rsidR="00BE4E96">
        <w:rPr>
          <w:sz w:val="20"/>
        </w:rPr>
        <w:t>M.</w:t>
      </w:r>
      <w:r w:rsidRPr="00B412B4">
        <w:rPr>
          <w:sz w:val="20"/>
        </w:rPr>
        <w:t xml:space="preserve"> Perry </w:t>
      </w:r>
      <w:r w:rsidR="00BE4E96">
        <w:rPr>
          <w:sz w:val="20"/>
        </w:rPr>
        <w:t>and</w:t>
      </w:r>
      <w:r w:rsidRPr="00B412B4">
        <w:rPr>
          <w:sz w:val="20"/>
        </w:rPr>
        <w:t xml:space="preserve"> </w:t>
      </w:r>
      <w:r w:rsidR="00BE4E96">
        <w:rPr>
          <w:sz w:val="20"/>
        </w:rPr>
        <w:t>F.</w:t>
      </w:r>
      <w:r w:rsidRPr="00B412B4">
        <w:rPr>
          <w:sz w:val="20"/>
        </w:rPr>
        <w:t xml:space="preserve"> M. Schweitzer (Bloomington: Indiana University Press, 2008), 307–336.</w:t>
      </w:r>
    </w:p>
    <w:p w14:paraId="69A640E8" w14:textId="15C42595" w:rsidR="00734878" w:rsidRPr="00734878" w:rsidRDefault="00734878" w:rsidP="00FD1413">
      <w:pPr>
        <w:ind w:left="720" w:hanging="720"/>
        <w:rPr>
          <w:sz w:val="20"/>
        </w:rPr>
      </w:pPr>
      <w:r w:rsidRPr="00734878">
        <w:rPr>
          <w:rFonts w:asciiTheme="majorBidi" w:hAnsiTheme="majorBidi" w:cstheme="majorBidi"/>
          <w:noProof w:val="0"/>
          <w:sz w:val="20"/>
          <w:lang w:bidi="he-IL"/>
        </w:rPr>
        <w:t xml:space="preserve">Nirenberg, “Jewish Enmity in Islam,” </w:t>
      </w:r>
      <w:r w:rsidRPr="00734878">
        <w:rPr>
          <w:rFonts w:asciiTheme="majorBidi" w:hAnsiTheme="majorBidi" w:cstheme="majorBidi"/>
          <w:i/>
          <w:iCs/>
          <w:noProof w:val="0"/>
          <w:sz w:val="20"/>
          <w:lang w:bidi="he-IL"/>
        </w:rPr>
        <w:t>Anti-Judaism</w:t>
      </w:r>
      <w:r w:rsidRPr="00734878">
        <w:rPr>
          <w:rFonts w:asciiTheme="majorBidi" w:hAnsiTheme="majorBidi" w:cstheme="majorBidi"/>
          <w:noProof w:val="0"/>
          <w:sz w:val="20"/>
          <w:lang w:bidi="he-IL"/>
        </w:rPr>
        <w:t>, 135–182.</w:t>
      </w:r>
    </w:p>
    <w:p w14:paraId="702A2224" w14:textId="4A9A01CD" w:rsidR="00734878" w:rsidRPr="00734878" w:rsidRDefault="00734878" w:rsidP="00734878">
      <w:pPr>
        <w:ind w:left="720" w:hanging="720"/>
        <w:rPr>
          <w:sz w:val="20"/>
        </w:rPr>
      </w:pPr>
      <w:r w:rsidRPr="00734878">
        <w:rPr>
          <w:sz w:val="20"/>
        </w:rPr>
        <w:t xml:space="preserve">Sina Arnold, “Anti-Muslim Racism, Post-Migration, and Holocaust Memory: Contours of Antisemitism in Germany Today,” </w:t>
      </w:r>
      <w:r w:rsidRPr="00734878">
        <w:rPr>
          <w:i/>
          <w:iCs/>
          <w:sz w:val="20"/>
        </w:rPr>
        <w:t>Social Research</w:t>
      </w:r>
      <w:r>
        <w:rPr>
          <w:sz w:val="20"/>
        </w:rPr>
        <w:t xml:space="preserve"> 88, no. 4 (Winter 2021): 867–</w:t>
      </w:r>
      <w:r w:rsidRPr="00734878">
        <w:rPr>
          <w:sz w:val="20"/>
        </w:rPr>
        <w:t>893.</w:t>
      </w:r>
    </w:p>
    <w:p w14:paraId="3F9B3D12" w14:textId="77777777" w:rsidR="00DC35E1" w:rsidRPr="002F0CE2" w:rsidRDefault="00DC35E1" w:rsidP="00EF0869">
      <w:pPr>
        <w:rPr>
          <w:sz w:val="22"/>
          <w:szCs w:val="22"/>
        </w:rPr>
      </w:pPr>
    </w:p>
    <w:p w14:paraId="38191BC7" w14:textId="00F12DF9" w:rsidR="001A3AD5" w:rsidRPr="00AB4091" w:rsidRDefault="00D91455" w:rsidP="007F13CF">
      <w:pPr>
        <w:rPr>
          <w:b/>
          <w:bCs/>
          <w:sz w:val="22"/>
          <w:szCs w:val="22"/>
        </w:rPr>
      </w:pPr>
      <w:r w:rsidRPr="00AB4091">
        <w:rPr>
          <w:b/>
          <w:bCs/>
          <w:sz w:val="22"/>
          <w:szCs w:val="22"/>
        </w:rPr>
        <w:t>Dec. 12 –</w:t>
      </w:r>
      <w:r w:rsidR="007F13CF" w:rsidRPr="00AB4091">
        <w:rPr>
          <w:b/>
          <w:bCs/>
          <w:sz w:val="22"/>
          <w:szCs w:val="22"/>
        </w:rPr>
        <w:t xml:space="preserve"> Is antisemitism</w:t>
      </w:r>
      <w:r w:rsidR="001A3AD5" w:rsidRPr="00AB4091">
        <w:rPr>
          <w:b/>
          <w:bCs/>
          <w:sz w:val="22"/>
          <w:szCs w:val="22"/>
        </w:rPr>
        <w:t xml:space="preserve"> exceptional or </w:t>
      </w:r>
      <w:r w:rsidR="007F13CF" w:rsidRPr="00AB4091">
        <w:rPr>
          <w:b/>
          <w:bCs/>
          <w:sz w:val="22"/>
          <w:szCs w:val="22"/>
        </w:rPr>
        <w:t>similar</w:t>
      </w:r>
      <w:r w:rsidR="001A3AD5" w:rsidRPr="00AB4091">
        <w:rPr>
          <w:b/>
          <w:bCs/>
          <w:sz w:val="22"/>
          <w:szCs w:val="22"/>
        </w:rPr>
        <w:t xml:space="preserve"> to other hatreds?</w:t>
      </w:r>
    </w:p>
    <w:p w14:paraId="68698AB7" w14:textId="588ECDFC" w:rsidR="00ED06E3" w:rsidRPr="00AB4091" w:rsidRDefault="00ED06E3" w:rsidP="00C80540">
      <w:pPr>
        <w:rPr>
          <w:b/>
          <w:bCs/>
          <w:color w:val="FF0000"/>
          <w:sz w:val="22"/>
          <w:szCs w:val="22"/>
        </w:rPr>
      </w:pPr>
      <w:r w:rsidRPr="00AB4091">
        <w:rPr>
          <w:b/>
          <w:bCs/>
          <w:color w:val="FF0000"/>
          <w:sz w:val="22"/>
          <w:szCs w:val="22"/>
        </w:rPr>
        <w:t xml:space="preserve">Response paper #3 </w:t>
      </w:r>
      <w:r w:rsidR="00C80540" w:rsidRPr="00AB4091">
        <w:rPr>
          <w:b/>
          <w:bCs/>
          <w:color w:val="FF0000"/>
          <w:sz w:val="22"/>
          <w:szCs w:val="22"/>
        </w:rPr>
        <w:t>due (300–400 words)</w:t>
      </w:r>
    </w:p>
    <w:p w14:paraId="1499121B" w14:textId="77777777" w:rsidR="00F171CC" w:rsidRPr="00AB4091" w:rsidRDefault="00F171CC" w:rsidP="00F171CC">
      <w:pPr>
        <w:ind w:left="720" w:hanging="720"/>
        <w:rPr>
          <w:rFonts w:asciiTheme="majorBidi" w:hAnsiTheme="majorBidi" w:cstheme="majorBidi"/>
          <w:color w:val="000000"/>
          <w:sz w:val="22"/>
          <w:szCs w:val="22"/>
        </w:rPr>
      </w:pPr>
      <w:r w:rsidRPr="00AB4091">
        <w:rPr>
          <w:rFonts w:asciiTheme="majorBidi" w:hAnsiTheme="majorBidi" w:cstheme="majorBidi"/>
          <w:color w:val="000000"/>
          <w:sz w:val="22"/>
          <w:szCs w:val="22"/>
        </w:rPr>
        <w:t>Karin Stögner, “</w:t>
      </w:r>
      <w:hyperlink r:id="rId48" w:history="1">
        <w:r w:rsidRPr="00AB4091">
          <w:rPr>
            <w:rStyle w:val="Hyperlink"/>
            <w:rFonts w:asciiTheme="majorBidi" w:hAnsiTheme="majorBidi" w:cstheme="majorBidi"/>
            <w:sz w:val="22"/>
            <w:szCs w:val="22"/>
          </w:rPr>
          <w:t>Intersectionality and Antisemitism: A New Approach</w:t>
        </w:r>
      </w:hyperlink>
      <w:r w:rsidRPr="00AB4091">
        <w:rPr>
          <w:rFonts w:asciiTheme="majorBidi" w:hAnsiTheme="majorBidi" w:cstheme="majorBidi"/>
          <w:color w:val="000000"/>
          <w:sz w:val="22"/>
          <w:szCs w:val="22"/>
        </w:rPr>
        <w:t xml:space="preserve">,” </w:t>
      </w:r>
      <w:r w:rsidRPr="00AB4091">
        <w:rPr>
          <w:rFonts w:asciiTheme="majorBidi" w:hAnsiTheme="majorBidi" w:cstheme="majorBidi"/>
          <w:i/>
          <w:iCs/>
          <w:color w:val="000000"/>
          <w:sz w:val="22"/>
          <w:szCs w:val="22"/>
        </w:rPr>
        <w:t>Fathom</w:t>
      </w:r>
      <w:r w:rsidRPr="00AB4091">
        <w:rPr>
          <w:rFonts w:asciiTheme="majorBidi" w:hAnsiTheme="majorBidi" w:cstheme="majorBidi"/>
          <w:color w:val="000000"/>
          <w:sz w:val="22"/>
          <w:szCs w:val="22"/>
        </w:rPr>
        <w:t xml:space="preserve"> (May 2020).</w:t>
      </w:r>
    </w:p>
    <w:p w14:paraId="124BE646" w14:textId="0C4FDA7A" w:rsidR="00F171CC" w:rsidRPr="00AB4091" w:rsidRDefault="00F171CC" w:rsidP="00D17A61">
      <w:pPr>
        <w:ind w:left="720" w:hanging="720"/>
        <w:rPr>
          <w:rFonts w:asciiTheme="majorBidi" w:hAnsiTheme="majorBidi" w:cstheme="majorBidi"/>
          <w:color w:val="000000"/>
          <w:sz w:val="22"/>
          <w:szCs w:val="22"/>
        </w:rPr>
      </w:pPr>
      <w:r w:rsidRPr="00AB4091">
        <w:rPr>
          <w:rFonts w:asciiTheme="majorBidi" w:hAnsiTheme="majorBidi" w:cstheme="majorBidi"/>
          <w:color w:val="000000"/>
          <w:sz w:val="22"/>
          <w:szCs w:val="22"/>
        </w:rPr>
        <w:t xml:space="preserve">Glynis Cousin and Robert Fine, “A Common Cause: Reconnecting the Study of Racism and Antisemitism,” </w:t>
      </w:r>
      <w:r w:rsidRPr="00AB4091">
        <w:rPr>
          <w:rFonts w:asciiTheme="majorBidi" w:hAnsiTheme="majorBidi" w:cstheme="majorBidi"/>
          <w:i/>
          <w:iCs/>
          <w:color w:val="000000"/>
          <w:sz w:val="22"/>
          <w:szCs w:val="22"/>
        </w:rPr>
        <w:t>European Societies</w:t>
      </w:r>
      <w:r w:rsidRPr="00AB4091">
        <w:rPr>
          <w:rFonts w:asciiTheme="majorBidi" w:hAnsiTheme="majorBidi" w:cstheme="majorBidi"/>
          <w:color w:val="000000"/>
          <w:sz w:val="22"/>
          <w:szCs w:val="22"/>
        </w:rPr>
        <w:t xml:space="preserve"> 14, no. 2 (2012): 166–185.</w:t>
      </w:r>
      <w:r w:rsidR="00D7710C" w:rsidRPr="00AB4091">
        <w:rPr>
          <w:rFonts w:asciiTheme="majorBidi" w:hAnsiTheme="majorBidi" w:cstheme="majorBidi"/>
          <w:color w:val="000000"/>
          <w:sz w:val="22"/>
          <w:szCs w:val="22"/>
        </w:rPr>
        <w:t xml:space="preserve"> The rest of the symposium on “Antisemitism, Racism, and Islamophobia” in this issue </w:t>
      </w:r>
      <w:r w:rsidR="00215DB8" w:rsidRPr="00AB4091">
        <w:rPr>
          <w:rFonts w:asciiTheme="majorBidi" w:hAnsiTheme="majorBidi" w:cstheme="majorBidi"/>
          <w:color w:val="000000"/>
          <w:sz w:val="22"/>
          <w:szCs w:val="22"/>
        </w:rPr>
        <w:t xml:space="preserve">(pp. </w:t>
      </w:r>
      <w:r w:rsidR="00580A06" w:rsidRPr="00AB4091">
        <w:rPr>
          <w:rFonts w:asciiTheme="majorBidi" w:hAnsiTheme="majorBidi" w:cstheme="majorBidi"/>
          <w:sz w:val="22"/>
          <w:szCs w:val="22"/>
        </w:rPr>
        <w:t>18</w:t>
      </w:r>
      <w:r w:rsidR="00215DB8" w:rsidRPr="00AB4091">
        <w:rPr>
          <w:rFonts w:asciiTheme="majorBidi" w:hAnsiTheme="majorBidi" w:cstheme="majorBidi"/>
          <w:sz w:val="22"/>
          <w:szCs w:val="22"/>
        </w:rPr>
        <w:t xml:space="preserve">6–294) </w:t>
      </w:r>
      <w:r w:rsidR="00D7710C" w:rsidRPr="00AB4091">
        <w:rPr>
          <w:rFonts w:asciiTheme="majorBidi" w:hAnsiTheme="majorBidi" w:cstheme="majorBidi"/>
          <w:color w:val="000000"/>
          <w:sz w:val="22"/>
          <w:szCs w:val="22"/>
        </w:rPr>
        <w:t>is recommended.</w:t>
      </w:r>
    </w:p>
    <w:p w14:paraId="47F4E4E8" w14:textId="0504AFB0" w:rsidR="00EF0869" w:rsidRPr="00AB4091" w:rsidRDefault="00EF0869" w:rsidP="00F171CC">
      <w:pPr>
        <w:ind w:left="720" w:hanging="720"/>
        <w:rPr>
          <w:rFonts w:asciiTheme="majorBidi" w:hAnsiTheme="majorBidi" w:cstheme="majorBidi"/>
          <w:color w:val="000000"/>
          <w:sz w:val="22"/>
          <w:szCs w:val="22"/>
        </w:rPr>
      </w:pPr>
      <w:r w:rsidRPr="00AB4091">
        <w:rPr>
          <w:rFonts w:asciiTheme="majorBidi" w:hAnsiTheme="majorBidi" w:cstheme="majorBidi"/>
          <w:color w:val="000000"/>
          <w:sz w:val="22"/>
          <w:szCs w:val="22"/>
        </w:rPr>
        <w:t xml:space="preserve">Chad Alan Goldberg, </w:t>
      </w:r>
      <w:hyperlink r:id="rId49" w:history="1">
        <w:r w:rsidRPr="00AB4091">
          <w:rPr>
            <w:rStyle w:val="Hyperlink"/>
            <w:rFonts w:asciiTheme="majorBidi" w:hAnsiTheme="majorBidi" w:cstheme="majorBidi"/>
            <w:i/>
            <w:iCs/>
            <w:sz w:val="22"/>
            <w:szCs w:val="22"/>
          </w:rPr>
          <w:t>Modernity and the Jews in Western Social Thought</w:t>
        </w:r>
      </w:hyperlink>
      <w:r w:rsidRPr="00AB4091">
        <w:rPr>
          <w:rFonts w:asciiTheme="majorBidi" w:hAnsiTheme="majorBidi" w:cstheme="majorBidi"/>
          <w:color w:val="000000"/>
          <w:sz w:val="22"/>
          <w:szCs w:val="22"/>
        </w:rPr>
        <w:t xml:space="preserve"> (University of Chicago Press, 2017), </w:t>
      </w:r>
      <w:r w:rsidR="00D17A61" w:rsidRPr="00AB4091">
        <w:rPr>
          <w:rFonts w:asciiTheme="majorBidi" w:hAnsiTheme="majorBidi" w:cstheme="majorBidi"/>
          <w:color w:val="000000"/>
          <w:sz w:val="22"/>
          <w:szCs w:val="22"/>
        </w:rPr>
        <w:t>104–106,</w:t>
      </w:r>
      <w:r w:rsidR="00F171CC" w:rsidRPr="00AB4091">
        <w:rPr>
          <w:rFonts w:asciiTheme="majorBidi" w:hAnsiTheme="majorBidi" w:cstheme="majorBidi"/>
          <w:color w:val="000000"/>
          <w:sz w:val="22"/>
          <w:szCs w:val="22"/>
        </w:rPr>
        <w:t xml:space="preserve"> 127</w:t>
      </w:r>
      <w:r w:rsidRPr="00AB4091">
        <w:rPr>
          <w:rFonts w:asciiTheme="majorBidi" w:hAnsiTheme="majorBidi" w:cstheme="majorBidi"/>
          <w:color w:val="000000"/>
          <w:sz w:val="22"/>
          <w:szCs w:val="22"/>
        </w:rPr>
        <w:t>–137.</w:t>
      </w:r>
      <w:r w:rsidR="00F171CC" w:rsidRPr="00AB4091">
        <w:rPr>
          <w:rFonts w:asciiTheme="majorBidi" w:hAnsiTheme="majorBidi" w:cstheme="majorBidi"/>
          <w:color w:val="000000"/>
          <w:sz w:val="22"/>
          <w:szCs w:val="22"/>
        </w:rPr>
        <w:t xml:space="preserve"> </w:t>
      </w:r>
      <w:r w:rsidR="00F171CC" w:rsidRPr="00BE4E96">
        <w:rPr>
          <w:rFonts w:asciiTheme="majorBidi" w:hAnsiTheme="majorBidi" w:cstheme="majorBidi"/>
          <w:color w:val="000000"/>
          <w:sz w:val="22"/>
          <w:szCs w:val="22"/>
          <w:u w:val="single"/>
        </w:rPr>
        <w:t>Recommended</w:t>
      </w:r>
      <w:r w:rsidR="00F171CC" w:rsidRPr="00AB4091">
        <w:rPr>
          <w:rFonts w:asciiTheme="majorBidi" w:hAnsiTheme="majorBidi" w:cstheme="majorBidi"/>
          <w:color w:val="000000"/>
          <w:sz w:val="22"/>
          <w:szCs w:val="22"/>
        </w:rPr>
        <w:t>: 114–127.</w:t>
      </w:r>
    </w:p>
    <w:p w14:paraId="5368BA4D" w14:textId="77777777" w:rsidR="00491201" w:rsidRPr="00215DB8" w:rsidRDefault="00491201" w:rsidP="005A085A">
      <w:pPr>
        <w:rPr>
          <w:rFonts w:asciiTheme="majorBidi" w:hAnsiTheme="majorBidi" w:cstheme="majorBidi"/>
          <w:color w:val="000000"/>
          <w:sz w:val="20"/>
        </w:rPr>
      </w:pPr>
    </w:p>
    <w:p w14:paraId="18436EC4" w14:textId="68133D93" w:rsidR="00AA6D51" w:rsidRPr="000937AE" w:rsidRDefault="00302DF6" w:rsidP="000937AE">
      <w:pPr>
        <w:ind w:left="720" w:hanging="720"/>
        <w:rPr>
          <w:rFonts w:asciiTheme="majorBidi" w:hAnsiTheme="majorBidi" w:cstheme="majorBidi"/>
          <w:color w:val="000000"/>
          <w:sz w:val="20"/>
        </w:rPr>
      </w:pPr>
      <w:r w:rsidRPr="00215DB8">
        <w:rPr>
          <w:rFonts w:asciiTheme="majorBidi" w:hAnsiTheme="majorBidi" w:cstheme="majorBidi"/>
          <w:color w:val="000000"/>
          <w:sz w:val="20"/>
          <w:u w:val="single"/>
        </w:rPr>
        <w:t>Recommended</w:t>
      </w:r>
      <w:r w:rsidRPr="00215DB8">
        <w:rPr>
          <w:rFonts w:asciiTheme="majorBidi" w:hAnsiTheme="majorBidi" w:cstheme="majorBidi"/>
          <w:color w:val="000000"/>
          <w:sz w:val="20"/>
        </w:rPr>
        <w:t>:</w:t>
      </w:r>
      <w:r w:rsidR="000937AE">
        <w:rPr>
          <w:rFonts w:asciiTheme="majorBidi" w:hAnsiTheme="majorBidi" w:cstheme="majorBidi"/>
          <w:color w:val="000000"/>
          <w:sz w:val="20"/>
        </w:rPr>
        <w:t xml:space="preserve"> </w:t>
      </w:r>
      <w:r w:rsidR="00AA6D51" w:rsidRPr="00215DB8">
        <w:rPr>
          <w:rFonts w:asciiTheme="majorBidi" w:hAnsiTheme="majorBidi" w:cstheme="majorBidi"/>
          <w:sz w:val="20"/>
        </w:rPr>
        <w:t xml:space="preserve">Claudine Attias-Donfut, Robert Fine, and Christine Achinger, “Introduction to the Special Issue on Racism, Antisemitism, and Islamophobia,” </w:t>
      </w:r>
      <w:r w:rsidR="00AA6D51" w:rsidRPr="00215DB8">
        <w:rPr>
          <w:rFonts w:asciiTheme="majorBidi" w:hAnsiTheme="majorBidi" w:cstheme="majorBidi"/>
          <w:i/>
          <w:iCs/>
          <w:sz w:val="20"/>
        </w:rPr>
        <w:t>European Societies</w:t>
      </w:r>
      <w:r w:rsidR="00AA6D51" w:rsidRPr="00215DB8">
        <w:rPr>
          <w:rFonts w:asciiTheme="majorBidi" w:hAnsiTheme="majorBidi" w:cstheme="majorBidi"/>
          <w:sz w:val="20"/>
        </w:rPr>
        <w:t xml:space="preserve"> 14, no. 3 (2012): 467–469.</w:t>
      </w:r>
    </w:p>
    <w:p w14:paraId="19BE0AEA" w14:textId="77777777" w:rsidR="00302DF6" w:rsidRDefault="00302DF6" w:rsidP="005A085A">
      <w:pPr>
        <w:rPr>
          <w:rFonts w:asciiTheme="majorBidi" w:hAnsiTheme="majorBidi" w:cstheme="majorBidi"/>
          <w:color w:val="000000"/>
          <w:sz w:val="22"/>
          <w:szCs w:val="22"/>
        </w:rPr>
      </w:pPr>
    </w:p>
    <w:p w14:paraId="4DC71A4F" w14:textId="0D7EA23D" w:rsidR="005E26EC" w:rsidRPr="005E26EC" w:rsidRDefault="005E26EC" w:rsidP="00C80540">
      <w:pPr>
        <w:spacing w:line="269" w:lineRule="exact"/>
        <w:rPr>
          <w:sz w:val="22"/>
          <w:szCs w:val="22"/>
        </w:rPr>
      </w:pPr>
      <w:r w:rsidRPr="004B180B">
        <w:rPr>
          <w:b/>
          <w:bCs/>
          <w:color w:val="FF0000"/>
          <w:sz w:val="22"/>
          <w:szCs w:val="22"/>
        </w:rPr>
        <w:t>Term paper (for graduate students</w:t>
      </w:r>
      <w:r w:rsidR="007D312C">
        <w:rPr>
          <w:b/>
          <w:bCs/>
          <w:color w:val="FF0000"/>
          <w:sz w:val="22"/>
          <w:szCs w:val="22"/>
        </w:rPr>
        <w:t>, 8,000 words max.</w:t>
      </w:r>
      <w:r w:rsidRPr="004B180B">
        <w:rPr>
          <w:b/>
          <w:bCs/>
          <w:color w:val="FF0000"/>
          <w:sz w:val="22"/>
          <w:szCs w:val="22"/>
        </w:rPr>
        <w:t>)</w:t>
      </w:r>
      <w:r w:rsidRPr="004B180B">
        <w:rPr>
          <w:color w:val="FF0000"/>
          <w:sz w:val="22"/>
          <w:szCs w:val="22"/>
        </w:rPr>
        <w:t xml:space="preserve"> </w:t>
      </w:r>
      <w:r w:rsidRPr="00704E74">
        <w:rPr>
          <w:b/>
          <w:bCs/>
          <w:color w:val="FF0000"/>
          <w:sz w:val="22"/>
          <w:szCs w:val="22"/>
        </w:rPr>
        <w:t xml:space="preserve">due </w:t>
      </w:r>
      <w:r>
        <w:rPr>
          <w:b/>
          <w:bCs/>
          <w:color w:val="FF0000"/>
          <w:sz w:val="22"/>
          <w:szCs w:val="22"/>
        </w:rPr>
        <w:t>Thursday, December 14, at</w:t>
      </w:r>
      <w:r w:rsidRPr="00704E74">
        <w:rPr>
          <w:b/>
          <w:bCs/>
          <w:color w:val="FF0000"/>
          <w:sz w:val="22"/>
          <w:szCs w:val="22"/>
        </w:rPr>
        <w:t xml:space="preserve"> </w:t>
      </w:r>
      <w:r>
        <w:rPr>
          <w:b/>
          <w:bCs/>
          <w:color w:val="FF0000"/>
          <w:sz w:val="22"/>
          <w:szCs w:val="22"/>
        </w:rPr>
        <w:t>11</w:t>
      </w:r>
      <w:r w:rsidRPr="00704E74">
        <w:rPr>
          <w:b/>
          <w:bCs/>
          <w:color w:val="FF0000"/>
          <w:sz w:val="22"/>
          <w:szCs w:val="22"/>
        </w:rPr>
        <w:t>:</w:t>
      </w:r>
      <w:r>
        <w:rPr>
          <w:b/>
          <w:bCs/>
          <w:color w:val="FF0000"/>
          <w:sz w:val="22"/>
          <w:szCs w:val="22"/>
        </w:rPr>
        <w:t>00 a</w:t>
      </w:r>
      <w:r w:rsidRPr="00704E74">
        <w:rPr>
          <w:b/>
          <w:bCs/>
          <w:color w:val="FF0000"/>
          <w:sz w:val="22"/>
          <w:szCs w:val="22"/>
        </w:rPr>
        <w:t>m</w:t>
      </w:r>
      <w:r>
        <w:rPr>
          <w:b/>
          <w:bCs/>
          <w:color w:val="FF0000"/>
          <w:sz w:val="22"/>
          <w:szCs w:val="22"/>
        </w:rPr>
        <w:t>.</w:t>
      </w:r>
    </w:p>
    <w:p w14:paraId="58F63566" w14:textId="77777777" w:rsidR="00C80540" w:rsidRDefault="00C80540" w:rsidP="00241D5E">
      <w:pPr>
        <w:spacing w:line="240" w:lineRule="atLeast"/>
        <w:rPr>
          <w:rFonts w:asciiTheme="majorBidi" w:hAnsiTheme="majorBidi" w:cstheme="majorBidi"/>
          <w:b/>
          <w:sz w:val="22"/>
          <w:szCs w:val="22"/>
        </w:rPr>
      </w:pPr>
    </w:p>
    <w:p w14:paraId="0124EB8D" w14:textId="01AF6B39" w:rsidR="00241D5E" w:rsidRPr="00656D36" w:rsidRDefault="007531EE" w:rsidP="00241D5E">
      <w:pPr>
        <w:spacing w:line="240" w:lineRule="atLeast"/>
        <w:rPr>
          <w:rFonts w:asciiTheme="majorBidi" w:hAnsiTheme="majorBidi" w:cstheme="majorBidi"/>
          <w:b/>
          <w:sz w:val="22"/>
          <w:szCs w:val="22"/>
        </w:rPr>
      </w:pPr>
      <w:r w:rsidRPr="002F0CE2">
        <w:rPr>
          <w:rFonts w:asciiTheme="majorBidi" w:hAnsiTheme="majorBidi" w:cstheme="majorBidi"/>
          <w:b/>
          <w:sz w:val="22"/>
          <w:szCs w:val="22"/>
        </w:rPr>
        <w:t>Grading deadline Dec. 24, 2023</w:t>
      </w:r>
    </w:p>
    <w:sectPr w:rsidR="00241D5E" w:rsidRPr="00656D36" w:rsidSect="00314551">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C87E7A" w14:textId="77777777" w:rsidR="00080D33" w:rsidRDefault="00080D33">
      <w:r>
        <w:separator/>
      </w:r>
    </w:p>
  </w:endnote>
  <w:endnote w:type="continuationSeparator" w:id="0">
    <w:p w14:paraId="3E2698E1" w14:textId="77777777" w:rsidR="00080D33" w:rsidRDefault="0008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Garamond">
    <w:panose1 w:val="02020404030301010803"/>
    <w:charset w:val="00"/>
    <w:family w:val="auto"/>
    <w:pitch w:val="variable"/>
    <w:sig w:usb0="00000287" w:usb1="00000000" w:usb2="00000000" w:usb3="00000000" w:csb0="0000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w:altName w:val="Times CY"/>
    <w:panose1 w:val="02000500000000000000"/>
    <w:charset w:val="CC"/>
    <w:family w:val="auto"/>
    <w:pitch w:val="variable"/>
    <w:sig w:usb0="00000201" w:usb1="00000000" w:usb2="00000000" w:usb3="00000000" w:csb0="00000004"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Code">
    <w:altName w:val="Times New Roman"/>
    <w:panose1 w:val="00000000000000000000"/>
    <w:charset w:val="4D"/>
    <w:family w:val="swiss"/>
    <w:notTrueType/>
    <w:pitch w:val="default"/>
    <w:sig w:usb0="00000003" w:usb1="00000000" w:usb2="00000000" w:usb3="00000000" w:csb0="00000001" w:csb1="00000000"/>
  </w:font>
  <w:font w:name="Mongolian Baiti">
    <w:panose1 w:val="03000500000000000000"/>
    <w:charset w:val="86"/>
    <w:family w:val="auto"/>
    <w:pitch w:val="variable"/>
    <w:sig w:usb0="80000023" w:usb1="080E0000" w:usb2="00020010" w:usb3="00000000" w:csb0="00040001" w:csb1="00000000"/>
  </w:font>
  <w:font w:name="Times New Roman Bold">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A2F7C" w14:textId="77777777" w:rsidR="000C305E" w:rsidRDefault="000C30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4BDC6D6E" w14:textId="77777777" w:rsidR="000C305E" w:rsidRDefault="000C305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132F3" w14:textId="77777777" w:rsidR="000C305E" w:rsidRPr="00FB6DFF" w:rsidRDefault="000C305E">
    <w:pPr>
      <w:pStyle w:val="Footer"/>
      <w:framePr w:wrap="around" w:vAnchor="text" w:hAnchor="margin" w:xAlign="center" w:y="1"/>
      <w:rPr>
        <w:rStyle w:val="PageNumber"/>
        <w:rFonts w:asciiTheme="majorBidi" w:eastAsia="Mongolian Baiti" w:hAnsiTheme="majorBidi" w:cstheme="majorBidi"/>
        <w:szCs w:val="24"/>
      </w:rPr>
    </w:pPr>
    <w:r w:rsidRPr="00FB6DFF">
      <w:rPr>
        <w:rStyle w:val="PageNumber"/>
        <w:rFonts w:asciiTheme="majorBidi" w:eastAsia="Mongolian Baiti" w:hAnsiTheme="majorBidi" w:cstheme="majorBidi"/>
        <w:szCs w:val="24"/>
      </w:rPr>
      <w:fldChar w:fldCharType="begin"/>
    </w:r>
    <w:r w:rsidRPr="00FB6DFF">
      <w:rPr>
        <w:rStyle w:val="PageNumber"/>
        <w:rFonts w:asciiTheme="majorBidi" w:eastAsia="Mongolian Baiti" w:hAnsiTheme="majorBidi" w:cstheme="majorBidi"/>
        <w:szCs w:val="24"/>
      </w:rPr>
      <w:instrText xml:space="preserve">PAGE  </w:instrText>
    </w:r>
    <w:r w:rsidRPr="00FB6DFF">
      <w:rPr>
        <w:rStyle w:val="PageNumber"/>
        <w:rFonts w:asciiTheme="majorBidi" w:eastAsia="Mongolian Baiti" w:hAnsiTheme="majorBidi" w:cstheme="majorBidi"/>
        <w:szCs w:val="24"/>
      </w:rPr>
      <w:fldChar w:fldCharType="separate"/>
    </w:r>
    <w:r w:rsidR="00455E80">
      <w:rPr>
        <w:rStyle w:val="PageNumber"/>
        <w:rFonts w:asciiTheme="majorBidi" w:eastAsia="Mongolian Baiti" w:hAnsiTheme="majorBidi" w:cstheme="majorBidi"/>
        <w:szCs w:val="24"/>
      </w:rPr>
      <w:t>1</w:t>
    </w:r>
    <w:r w:rsidRPr="00FB6DFF">
      <w:rPr>
        <w:rStyle w:val="PageNumber"/>
        <w:rFonts w:asciiTheme="majorBidi" w:eastAsia="Mongolian Baiti" w:hAnsiTheme="majorBidi" w:cstheme="majorBidi"/>
        <w:szCs w:val="24"/>
      </w:rPr>
      <w:fldChar w:fldCharType="end"/>
    </w:r>
  </w:p>
  <w:p w14:paraId="44AC95AE" w14:textId="77777777" w:rsidR="000C305E" w:rsidRPr="00FB6DFF" w:rsidRDefault="000C305E">
    <w:pPr>
      <w:pStyle w:val="Footer"/>
      <w:rPr>
        <w:rFonts w:asciiTheme="majorBidi" w:eastAsia="Mongolian Baiti" w:hAnsiTheme="majorBidi" w:cstheme="majorBidi"/>
        <w:szCs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7740A2" w14:textId="77777777" w:rsidR="00080D33" w:rsidRDefault="00080D33">
      <w:r>
        <w:separator/>
      </w:r>
    </w:p>
  </w:footnote>
  <w:footnote w:type="continuationSeparator" w:id="0">
    <w:p w14:paraId="4F1B9DC7" w14:textId="77777777" w:rsidR="00080D33" w:rsidRDefault="00080D3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6922C3" w14:textId="37D48001" w:rsidR="000C305E" w:rsidRPr="00656D36" w:rsidRDefault="000C305E" w:rsidP="00BB14FB">
    <w:pPr>
      <w:pStyle w:val="Heading1"/>
      <w:rPr>
        <w:rFonts w:asciiTheme="majorBidi" w:eastAsia="Mongolian Baiti" w:hAnsiTheme="majorBidi" w:cstheme="majorBidi"/>
        <w:sz w:val="22"/>
        <w:szCs w:val="22"/>
      </w:rPr>
    </w:pPr>
    <w:r w:rsidRPr="00656D36">
      <w:rPr>
        <w:rFonts w:asciiTheme="majorBidi" w:eastAsia="Mongolian Baiti" w:hAnsiTheme="majorBidi" w:cstheme="majorBidi"/>
        <w:sz w:val="22"/>
        <w:szCs w:val="22"/>
      </w:rPr>
      <w:t>HIS 518 / JS 518 / SOC 670</w:t>
    </w:r>
    <w:r w:rsidRPr="00656D36">
      <w:rPr>
        <w:rFonts w:asciiTheme="majorBidi" w:eastAsia="Mongolian Baiti" w:hAnsiTheme="majorBidi" w:cstheme="majorBidi"/>
        <w:sz w:val="22"/>
        <w:szCs w:val="22"/>
      </w:rPr>
      <w:tab/>
    </w:r>
    <w:r w:rsidRPr="00656D36">
      <w:rPr>
        <w:rFonts w:asciiTheme="majorBidi" w:eastAsia="Mongolian Baiti" w:hAnsiTheme="majorBidi" w:cstheme="majorBidi"/>
        <w:sz w:val="22"/>
        <w:szCs w:val="22"/>
      </w:rPr>
      <w:tab/>
    </w:r>
    <w:r w:rsidRPr="00656D36">
      <w:rPr>
        <w:rFonts w:asciiTheme="majorBidi" w:eastAsia="Mongolian Baiti" w:hAnsiTheme="majorBidi" w:cstheme="majorBidi"/>
        <w:sz w:val="22"/>
        <w:szCs w:val="22"/>
      </w:rPr>
      <w:tab/>
    </w:r>
    <w:r w:rsidRPr="00656D36">
      <w:rPr>
        <w:rFonts w:asciiTheme="majorBidi" w:eastAsia="Mongolian Baiti" w:hAnsiTheme="majorBidi" w:cstheme="majorBidi"/>
        <w:sz w:val="22"/>
        <w:szCs w:val="22"/>
      </w:rPr>
      <w:tab/>
      <w:t>Professor Chad Alan Goldberg</w:t>
    </w:r>
  </w:p>
  <w:p w14:paraId="0D676F88" w14:textId="5DB87581" w:rsidR="000C305E" w:rsidRPr="00656D36" w:rsidRDefault="000C305E" w:rsidP="002E4915">
    <w:pPr>
      <w:pStyle w:val="Heading1"/>
      <w:rPr>
        <w:rFonts w:asciiTheme="majorBidi" w:eastAsia="Mongolian Baiti" w:hAnsiTheme="majorBidi" w:cstheme="majorBidi"/>
        <w:sz w:val="22"/>
        <w:szCs w:val="22"/>
      </w:rPr>
    </w:pPr>
    <w:r w:rsidRPr="00656D36">
      <w:rPr>
        <w:rFonts w:asciiTheme="majorBidi" w:eastAsia="Mongolian Baiti" w:hAnsiTheme="majorBidi" w:cstheme="majorBidi"/>
        <w:sz w:val="22"/>
        <w:szCs w:val="22"/>
      </w:rPr>
      <w:t xml:space="preserve">Fall 2023 | </w:t>
    </w:r>
    <w:proofErr w:type="spellStart"/>
    <w:r w:rsidRPr="00656D36">
      <w:rPr>
        <w:rFonts w:asciiTheme="majorBidi" w:hAnsiTheme="majorBidi" w:cstheme="majorBidi"/>
        <w:noProof w:val="0"/>
        <w:sz w:val="22"/>
        <w:szCs w:val="22"/>
      </w:rPr>
      <w:t>TuTh</w:t>
    </w:r>
    <w:proofErr w:type="spellEnd"/>
    <w:r w:rsidRPr="00656D36">
      <w:rPr>
        <w:rFonts w:asciiTheme="majorBidi" w:hAnsiTheme="majorBidi" w:cstheme="majorBidi"/>
        <w:noProof w:val="0"/>
        <w:sz w:val="22"/>
        <w:szCs w:val="22"/>
      </w:rPr>
      <w:t xml:space="preserve"> 11:00AM - 12:15PM</w:t>
    </w:r>
    <w:r w:rsidRPr="00656D36">
      <w:rPr>
        <w:rFonts w:asciiTheme="majorBidi" w:eastAsia="Mongolian Baiti" w:hAnsiTheme="majorBidi" w:cstheme="majorBidi"/>
        <w:sz w:val="22"/>
        <w:szCs w:val="22"/>
      </w:rPr>
      <w:tab/>
    </w:r>
    <w:r w:rsidRPr="00656D36">
      <w:rPr>
        <w:rFonts w:asciiTheme="majorBidi" w:eastAsia="Mongolian Baiti" w:hAnsiTheme="majorBidi" w:cstheme="majorBidi"/>
        <w:sz w:val="22"/>
        <w:szCs w:val="22"/>
      </w:rPr>
      <w:tab/>
    </w:r>
    <w:r w:rsidRPr="00656D36">
      <w:rPr>
        <w:rFonts w:asciiTheme="majorBidi" w:eastAsia="Mongolian Baiti" w:hAnsiTheme="majorBidi" w:cstheme="majorBidi"/>
        <w:sz w:val="22"/>
        <w:szCs w:val="22"/>
      </w:rPr>
      <w:tab/>
      <w:t xml:space="preserve">E-mail: </w:t>
    </w:r>
    <w:hyperlink r:id="rId1" w:history="1">
      <w:r w:rsidRPr="00656D36">
        <w:rPr>
          <w:rStyle w:val="Hyperlink"/>
          <w:rFonts w:asciiTheme="majorBidi" w:eastAsia="Mongolian Baiti" w:hAnsiTheme="majorBidi" w:cstheme="majorBidi"/>
          <w:sz w:val="22"/>
          <w:szCs w:val="22"/>
        </w:rPr>
        <w:t>cagoldberg@wisc.edu</w:t>
      </w:r>
    </w:hyperlink>
  </w:p>
  <w:p w14:paraId="2EFAA271" w14:textId="4FFBDCAE" w:rsidR="000C305E" w:rsidRPr="00656D36" w:rsidRDefault="004233D3" w:rsidP="00E96E3C">
    <w:pPr>
      <w:rPr>
        <w:rStyle w:val="Hyperlink"/>
        <w:rFonts w:asciiTheme="majorBidi" w:eastAsia="Mongolian Baiti" w:hAnsiTheme="majorBidi" w:cstheme="majorBidi"/>
        <w:sz w:val="22"/>
        <w:szCs w:val="22"/>
      </w:rPr>
    </w:pPr>
    <w:r w:rsidRPr="004233D3">
      <w:rPr>
        <w:rFonts w:asciiTheme="majorBidi" w:hAnsiTheme="majorBidi" w:cstheme="majorBidi"/>
        <w:noProof w:val="0"/>
        <w:sz w:val="22"/>
        <w:szCs w:val="22"/>
      </w:rPr>
      <w:t>VAN HISE 378</w:t>
    </w:r>
    <w:r>
      <w:rPr>
        <w:rFonts w:asciiTheme="majorBidi" w:hAnsiTheme="majorBidi" w:cstheme="majorBidi"/>
        <w:noProof w:val="0"/>
        <w:sz w:val="22"/>
        <w:szCs w:val="22"/>
      </w:rPr>
      <w:tab/>
    </w:r>
    <w:r w:rsidR="000C305E" w:rsidRPr="00656D36">
      <w:rPr>
        <w:rFonts w:asciiTheme="majorBidi" w:hAnsiTheme="majorBidi" w:cstheme="majorBidi"/>
        <w:noProof w:val="0"/>
        <w:sz w:val="22"/>
        <w:szCs w:val="22"/>
      </w:rPr>
      <w:tab/>
    </w:r>
    <w:r w:rsidR="000C305E">
      <w:rPr>
        <w:rStyle w:val="pslongeditbox"/>
        <w:rFonts w:asciiTheme="majorBidi" w:hAnsiTheme="majorBidi" w:cstheme="majorBidi"/>
        <w:sz w:val="22"/>
        <w:szCs w:val="22"/>
      </w:rPr>
      <w:tab/>
    </w:r>
    <w:r w:rsidR="000C305E">
      <w:rPr>
        <w:rStyle w:val="pslongeditbox"/>
        <w:rFonts w:asciiTheme="majorBidi" w:hAnsiTheme="majorBidi" w:cstheme="majorBidi"/>
        <w:sz w:val="22"/>
        <w:szCs w:val="22"/>
      </w:rPr>
      <w:tab/>
    </w:r>
    <w:r w:rsidR="000C305E">
      <w:rPr>
        <w:rStyle w:val="pslongeditbox"/>
        <w:rFonts w:asciiTheme="majorBidi" w:hAnsiTheme="majorBidi" w:cstheme="majorBidi"/>
        <w:sz w:val="22"/>
        <w:szCs w:val="22"/>
      </w:rPr>
      <w:tab/>
    </w:r>
    <w:r w:rsidR="000C305E" w:rsidRPr="00656D36">
      <w:rPr>
        <w:rStyle w:val="pslongeditbox"/>
        <w:rFonts w:asciiTheme="majorBidi" w:hAnsiTheme="majorBidi" w:cstheme="majorBidi"/>
        <w:sz w:val="22"/>
        <w:szCs w:val="22"/>
      </w:rPr>
      <w:tab/>
    </w:r>
    <w:hyperlink r:id="rId2" w:history="1">
      <w:r w:rsidR="000C305E" w:rsidRPr="00656D36">
        <w:rPr>
          <w:rStyle w:val="Hyperlink"/>
          <w:rFonts w:asciiTheme="majorBidi" w:eastAsia="Mongolian Baiti" w:hAnsiTheme="majorBidi" w:cstheme="majorBidi"/>
          <w:sz w:val="22"/>
          <w:szCs w:val="22"/>
        </w:rPr>
        <w:t>https://calendly.com/cagoldberg/officehours</w:t>
      </w:r>
    </w:hyperlink>
  </w:p>
  <w:p w14:paraId="1ED832B5" w14:textId="77777777" w:rsidR="000C305E" w:rsidRPr="00656D36" w:rsidRDefault="000C305E" w:rsidP="00E96E3C">
    <w:pPr>
      <w:rPr>
        <w:rFonts w:asciiTheme="majorBidi" w:eastAsia="Mongolian Baiti" w:hAnsiTheme="majorBidi" w:cstheme="majorBidi"/>
        <w:sz w:val="22"/>
        <w:szCs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708B9"/>
    <w:multiLevelType w:val="hybridMultilevel"/>
    <w:tmpl w:val="5656B8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F00711"/>
    <w:multiLevelType w:val="hybridMultilevel"/>
    <w:tmpl w:val="53FAFE5C"/>
    <w:lvl w:ilvl="0" w:tplc="B2CA7D6E">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6208BC"/>
    <w:multiLevelType w:val="hybridMultilevel"/>
    <w:tmpl w:val="EBDAA3F2"/>
    <w:lvl w:ilvl="0" w:tplc="0A3ACD50">
      <w:start w:val="2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403D70"/>
    <w:multiLevelType w:val="hybridMultilevel"/>
    <w:tmpl w:val="0D6C4BE6"/>
    <w:lvl w:ilvl="0" w:tplc="13C0271E">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646A91"/>
    <w:multiLevelType w:val="hybridMultilevel"/>
    <w:tmpl w:val="8E7A61B8"/>
    <w:lvl w:ilvl="0" w:tplc="86EA603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33D4659"/>
    <w:multiLevelType w:val="hybridMultilevel"/>
    <w:tmpl w:val="1FB85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956999"/>
    <w:multiLevelType w:val="hybridMultilevel"/>
    <w:tmpl w:val="C9788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C153D8"/>
    <w:multiLevelType w:val="hybridMultilevel"/>
    <w:tmpl w:val="83B0978A"/>
    <w:lvl w:ilvl="0" w:tplc="FC5AB8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8B13C8"/>
    <w:multiLevelType w:val="hybridMultilevel"/>
    <w:tmpl w:val="1362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9F00B8"/>
    <w:multiLevelType w:val="hybridMultilevel"/>
    <w:tmpl w:val="DDEAFF5C"/>
    <w:lvl w:ilvl="0" w:tplc="E396AE8A">
      <w:start w:val="1"/>
      <w:numFmt w:val="bullet"/>
      <w:lvlText w:val=""/>
      <w:lvlJc w:val="left"/>
      <w:pPr>
        <w:tabs>
          <w:tab w:val="num" w:pos="720"/>
        </w:tabs>
        <w:ind w:left="720" w:hanging="360"/>
      </w:pPr>
      <w:rPr>
        <w:rFonts w:ascii="Symbol" w:eastAsia="Times New Roman" w:hAnsi="Symbol" w:hint="default"/>
      </w:rPr>
    </w:lvl>
    <w:lvl w:ilvl="1" w:tplc="5BCC2F28" w:tentative="1">
      <w:start w:val="1"/>
      <w:numFmt w:val="bullet"/>
      <w:lvlText w:val="o"/>
      <w:lvlJc w:val="left"/>
      <w:pPr>
        <w:tabs>
          <w:tab w:val="num" w:pos="1440"/>
        </w:tabs>
        <w:ind w:left="1440" w:hanging="360"/>
      </w:pPr>
      <w:rPr>
        <w:rFonts w:ascii="Courier New" w:hAnsi="Courier New" w:hint="default"/>
      </w:rPr>
    </w:lvl>
    <w:lvl w:ilvl="2" w:tplc="9A9E1614" w:tentative="1">
      <w:start w:val="1"/>
      <w:numFmt w:val="bullet"/>
      <w:lvlText w:val=""/>
      <w:lvlJc w:val="left"/>
      <w:pPr>
        <w:tabs>
          <w:tab w:val="num" w:pos="2160"/>
        </w:tabs>
        <w:ind w:left="2160" w:hanging="360"/>
      </w:pPr>
      <w:rPr>
        <w:rFonts w:ascii="Wingdings" w:hAnsi="Wingdings" w:hint="default"/>
      </w:rPr>
    </w:lvl>
    <w:lvl w:ilvl="3" w:tplc="511E8138" w:tentative="1">
      <w:start w:val="1"/>
      <w:numFmt w:val="bullet"/>
      <w:lvlText w:val=""/>
      <w:lvlJc w:val="left"/>
      <w:pPr>
        <w:tabs>
          <w:tab w:val="num" w:pos="2880"/>
        </w:tabs>
        <w:ind w:left="2880" w:hanging="360"/>
      </w:pPr>
      <w:rPr>
        <w:rFonts w:ascii="Symbol" w:hAnsi="Symbol" w:hint="default"/>
      </w:rPr>
    </w:lvl>
    <w:lvl w:ilvl="4" w:tplc="E15C036E" w:tentative="1">
      <w:start w:val="1"/>
      <w:numFmt w:val="bullet"/>
      <w:lvlText w:val="o"/>
      <w:lvlJc w:val="left"/>
      <w:pPr>
        <w:tabs>
          <w:tab w:val="num" w:pos="3600"/>
        </w:tabs>
        <w:ind w:left="3600" w:hanging="360"/>
      </w:pPr>
      <w:rPr>
        <w:rFonts w:ascii="Courier New" w:hAnsi="Courier New" w:hint="default"/>
      </w:rPr>
    </w:lvl>
    <w:lvl w:ilvl="5" w:tplc="11E27824" w:tentative="1">
      <w:start w:val="1"/>
      <w:numFmt w:val="bullet"/>
      <w:lvlText w:val=""/>
      <w:lvlJc w:val="left"/>
      <w:pPr>
        <w:tabs>
          <w:tab w:val="num" w:pos="4320"/>
        </w:tabs>
        <w:ind w:left="4320" w:hanging="360"/>
      </w:pPr>
      <w:rPr>
        <w:rFonts w:ascii="Wingdings" w:hAnsi="Wingdings" w:hint="default"/>
      </w:rPr>
    </w:lvl>
    <w:lvl w:ilvl="6" w:tplc="9CA262FA" w:tentative="1">
      <w:start w:val="1"/>
      <w:numFmt w:val="bullet"/>
      <w:lvlText w:val=""/>
      <w:lvlJc w:val="left"/>
      <w:pPr>
        <w:tabs>
          <w:tab w:val="num" w:pos="5040"/>
        </w:tabs>
        <w:ind w:left="5040" w:hanging="360"/>
      </w:pPr>
      <w:rPr>
        <w:rFonts w:ascii="Symbol" w:hAnsi="Symbol" w:hint="default"/>
      </w:rPr>
    </w:lvl>
    <w:lvl w:ilvl="7" w:tplc="873A4E28" w:tentative="1">
      <w:start w:val="1"/>
      <w:numFmt w:val="bullet"/>
      <w:lvlText w:val="o"/>
      <w:lvlJc w:val="left"/>
      <w:pPr>
        <w:tabs>
          <w:tab w:val="num" w:pos="5760"/>
        </w:tabs>
        <w:ind w:left="5760" w:hanging="360"/>
      </w:pPr>
      <w:rPr>
        <w:rFonts w:ascii="Courier New" w:hAnsi="Courier New" w:hint="default"/>
      </w:rPr>
    </w:lvl>
    <w:lvl w:ilvl="8" w:tplc="B112B2A0" w:tentative="1">
      <w:start w:val="1"/>
      <w:numFmt w:val="bullet"/>
      <w:lvlText w:val=""/>
      <w:lvlJc w:val="left"/>
      <w:pPr>
        <w:tabs>
          <w:tab w:val="num" w:pos="6480"/>
        </w:tabs>
        <w:ind w:left="6480" w:hanging="360"/>
      </w:pPr>
      <w:rPr>
        <w:rFonts w:ascii="Wingdings" w:hAnsi="Wingdings" w:hint="default"/>
      </w:rPr>
    </w:lvl>
  </w:abstractNum>
  <w:abstractNum w:abstractNumId="10">
    <w:nsid w:val="33672A5A"/>
    <w:multiLevelType w:val="hybridMultilevel"/>
    <w:tmpl w:val="E1702E06"/>
    <w:lvl w:ilvl="0" w:tplc="D9D430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BE45BE"/>
    <w:multiLevelType w:val="hybridMultilevel"/>
    <w:tmpl w:val="3740170A"/>
    <w:lvl w:ilvl="0" w:tplc="37260164">
      <w:start w:val="1"/>
      <w:numFmt w:val="decimal"/>
      <w:lvlText w:val="%1."/>
      <w:lvlJc w:val="left"/>
      <w:pPr>
        <w:tabs>
          <w:tab w:val="num" w:pos="720"/>
        </w:tabs>
        <w:ind w:left="720" w:hanging="360"/>
      </w:pPr>
      <w:rPr>
        <w:rFonts w:hint="default"/>
      </w:rPr>
    </w:lvl>
    <w:lvl w:ilvl="1" w:tplc="C8A4E424" w:tentative="1">
      <w:start w:val="1"/>
      <w:numFmt w:val="lowerLetter"/>
      <w:lvlText w:val="%2."/>
      <w:lvlJc w:val="left"/>
      <w:pPr>
        <w:tabs>
          <w:tab w:val="num" w:pos="1440"/>
        </w:tabs>
        <w:ind w:left="1440" w:hanging="360"/>
      </w:pPr>
    </w:lvl>
    <w:lvl w:ilvl="2" w:tplc="CB2C15B4" w:tentative="1">
      <w:start w:val="1"/>
      <w:numFmt w:val="lowerRoman"/>
      <w:lvlText w:val="%3."/>
      <w:lvlJc w:val="right"/>
      <w:pPr>
        <w:tabs>
          <w:tab w:val="num" w:pos="2160"/>
        </w:tabs>
        <w:ind w:left="2160" w:hanging="180"/>
      </w:pPr>
    </w:lvl>
    <w:lvl w:ilvl="3" w:tplc="DF72C522" w:tentative="1">
      <w:start w:val="1"/>
      <w:numFmt w:val="decimal"/>
      <w:lvlText w:val="%4."/>
      <w:lvlJc w:val="left"/>
      <w:pPr>
        <w:tabs>
          <w:tab w:val="num" w:pos="2880"/>
        </w:tabs>
        <w:ind w:left="2880" w:hanging="360"/>
      </w:pPr>
    </w:lvl>
    <w:lvl w:ilvl="4" w:tplc="66CE853E" w:tentative="1">
      <w:start w:val="1"/>
      <w:numFmt w:val="lowerLetter"/>
      <w:lvlText w:val="%5."/>
      <w:lvlJc w:val="left"/>
      <w:pPr>
        <w:tabs>
          <w:tab w:val="num" w:pos="3600"/>
        </w:tabs>
        <w:ind w:left="3600" w:hanging="360"/>
      </w:pPr>
    </w:lvl>
    <w:lvl w:ilvl="5" w:tplc="FA7AA652" w:tentative="1">
      <w:start w:val="1"/>
      <w:numFmt w:val="lowerRoman"/>
      <w:lvlText w:val="%6."/>
      <w:lvlJc w:val="right"/>
      <w:pPr>
        <w:tabs>
          <w:tab w:val="num" w:pos="4320"/>
        </w:tabs>
        <w:ind w:left="4320" w:hanging="180"/>
      </w:pPr>
    </w:lvl>
    <w:lvl w:ilvl="6" w:tplc="2A068C0E" w:tentative="1">
      <w:start w:val="1"/>
      <w:numFmt w:val="decimal"/>
      <w:lvlText w:val="%7."/>
      <w:lvlJc w:val="left"/>
      <w:pPr>
        <w:tabs>
          <w:tab w:val="num" w:pos="5040"/>
        </w:tabs>
        <w:ind w:left="5040" w:hanging="360"/>
      </w:pPr>
    </w:lvl>
    <w:lvl w:ilvl="7" w:tplc="98265414" w:tentative="1">
      <w:start w:val="1"/>
      <w:numFmt w:val="lowerLetter"/>
      <w:lvlText w:val="%8."/>
      <w:lvlJc w:val="left"/>
      <w:pPr>
        <w:tabs>
          <w:tab w:val="num" w:pos="5760"/>
        </w:tabs>
        <w:ind w:left="5760" w:hanging="360"/>
      </w:pPr>
    </w:lvl>
    <w:lvl w:ilvl="8" w:tplc="17ECFB6A" w:tentative="1">
      <w:start w:val="1"/>
      <w:numFmt w:val="lowerRoman"/>
      <w:lvlText w:val="%9."/>
      <w:lvlJc w:val="right"/>
      <w:pPr>
        <w:tabs>
          <w:tab w:val="num" w:pos="6480"/>
        </w:tabs>
        <w:ind w:left="6480" w:hanging="180"/>
      </w:pPr>
    </w:lvl>
  </w:abstractNum>
  <w:abstractNum w:abstractNumId="12">
    <w:nsid w:val="35426AC2"/>
    <w:multiLevelType w:val="hybridMultilevel"/>
    <w:tmpl w:val="ADA2B0A8"/>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211885"/>
    <w:multiLevelType w:val="hybridMultilevel"/>
    <w:tmpl w:val="A672E298"/>
    <w:lvl w:ilvl="0" w:tplc="D9D430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594FC5"/>
    <w:multiLevelType w:val="hybridMultilevel"/>
    <w:tmpl w:val="EAEE48FC"/>
    <w:lvl w:ilvl="0" w:tplc="291C6CAC">
      <w:start w:val="1"/>
      <w:numFmt w:val="decimal"/>
      <w:lvlText w:val="%1."/>
      <w:lvlJc w:val="left"/>
      <w:pPr>
        <w:tabs>
          <w:tab w:val="num" w:pos="720"/>
        </w:tabs>
        <w:ind w:left="720" w:hanging="360"/>
      </w:pPr>
      <w:rPr>
        <w:rFonts w:hint="default"/>
      </w:rPr>
    </w:lvl>
    <w:lvl w:ilvl="1" w:tplc="8766DBD4" w:tentative="1">
      <w:start w:val="1"/>
      <w:numFmt w:val="lowerLetter"/>
      <w:lvlText w:val="%2."/>
      <w:lvlJc w:val="left"/>
      <w:pPr>
        <w:tabs>
          <w:tab w:val="num" w:pos="1440"/>
        </w:tabs>
        <w:ind w:left="1440" w:hanging="360"/>
      </w:pPr>
    </w:lvl>
    <w:lvl w:ilvl="2" w:tplc="01C894A6" w:tentative="1">
      <w:start w:val="1"/>
      <w:numFmt w:val="lowerRoman"/>
      <w:lvlText w:val="%3."/>
      <w:lvlJc w:val="right"/>
      <w:pPr>
        <w:tabs>
          <w:tab w:val="num" w:pos="2160"/>
        </w:tabs>
        <w:ind w:left="2160" w:hanging="180"/>
      </w:pPr>
    </w:lvl>
    <w:lvl w:ilvl="3" w:tplc="1174FA50" w:tentative="1">
      <w:start w:val="1"/>
      <w:numFmt w:val="decimal"/>
      <w:lvlText w:val="%4."/>
      <w:lvlJc w:val="left"/>
      <w:pPr>
        <w:tabs>
          <w:tab w:val="num" w:pos="2880"/>
        </w:tabs>
        <w:ind w:left="2880" w:hanging="360"/>
      </w:pPr>
    </w:lvl>
    <w:lvl w:ilvl="4" w:tplc="6332F318" w:tentative="1">
      <w:start w:val="1"/>
      <w:numFmt w:val="lowerLetter"/>
      <w:lvlText w:val="%5."/>
      <w:lvlJc w:val="left"/>
      <w:pPr>
        <w:tabs>
          <w:tab w:val="num" w:pos="3600"/>
        </w:tabs>
        <w:ind w:left="3600" w:hanging="360"/>
      </w:pPr>
    </w:lvl>
    <w:lvl w:ilvl="5" w:tplc="6F66FC18" w:tentative="1">
      <w:start w:val="1"/>
      <w:numFmt w:val="lowerRoman"/>
      <w:lvlText w:val="%6."/>
      <w:lvlJc w:val="right"/>
      <w:pPr>
        <w:tabs>
          <w:tab w:val="num" w:pos="4320"/>
        </w:tabs>
        <w:ind w:left="4320" w:hanging="180"/>
      </w:pPr>
    </w:lvl>
    <w:lvl w:ilvl="6" w:tplc="E3885322" w:tentative="1">
      <w:start w:val="1"/>
      <w:numFmt w:val="decimal"/>
      <w:lvlText w:val="%7."/>
      <w:lvlJc w:val="left"/>
      <w:pPr>
        <w:tabs>
          <w:tab w:val="num" w:pos="5040"/>
        </w:tabs>
        <w:ind w:left="5040" w:hanging="360"/>
      </w:pPr>
    </w:lvl>
    <w:lvl w:ilvl="7" w:tplc="C25CFF04" w:tentative="1">
      <w:start w:val="1"/>
      <w:numFmt w:val="lowerLetter"/>
      <w:lvlText w:val="%8."/>
      <w:lvlJc w:val="left"/>
      <w:pPr>
        <w:tabs>
          <w:tab w:val="num" w:pos="5760"/>
        </w:tabs>
        <w:ind w:left="5760" w:hanging="360"/>
      </w:pPr>
    </w:lvl>
    <w:lvl w:ilvl="8" w:tplc="DEDE7E4A" w:tentative="1">
      <w:start w:val="1"/>
      <w:numFmt w:val="lowerRoman"/>
      <w:lvlText w:val="%9."/>
      <w:lvlJc w:val="right"/>
      <w:pPr>
        <w:tabs>
          <w:tab w:val="num" w:pos="6480"/>
        </w:tabs>
        <w:ind w:left="6480" w:hanging="180"/>
      </w:pPr>
    </w:lvl>
  </w:abstractNum>
  <w:abstractNum w:abstractNumId="15">
    <w:nsid w:val="43E61950"/>
    <w:multiLevelType w:val="hybridMultilevel"/>
    <w:tmpl w:val="E3304F08"/>
    <w:lvl w:ilvl="0" w:tplc="0409000F">
      <w:start w:val="1"/>
      <w:numFmt w:val="decimal"/>
      <w:lvlText w:val="%1."/>
      <w:lvlJc w:val="left"/>
      <w:pPr>
        <w:tabs>
          <w:tab w:val="num" w:pos="720"/>
        </w:tabs>
        <w:ind w:left="720" w:hanging="360"/>
      </w:pPr>
      <w:rPr>
        <w:rFonts w:hint="default"/>
      </w:rPr>
    </w:lvl>
    <w:lvl w:ilvl="1" w:tplc="4BA86202">
      <w:numFmt w:val="bullet"/>
      <w:lvlText w:val=""/>
      <w:lvlJc w:val="left"/>
      <w:pPr>
        <w:tabs>
          <w:tab w:val="num" w:pos="1440"/>
        </w:tabs>
        <w:ind w:left="1440" w:hanging="360"/>
      </w:pPr>
      <w:rPr>
        <w:rFonts w:ascii="Symbol" w:eastAsia="Times New Roman"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8883B75"/>
    <w:multiLevelType w:val="hybridMultilevel"/>
    <w:tmpl w:val="56D8F5B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B6E7701"/>
    <w:multiLevelType w:val="hybridMultilevel"/>
    <w:tmpl w:val="F22C19D2"/>
    <w:lvl w:ilvl="0" w:tplc="D640DD5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911AAD"/>
    <w:multiLevelType w:val="hybridMultilevel"/>
    <w:tmpl w:val="469E7DC4"/>
    <w:lvl w:ilvl="0" w:tplc="E4F06AFC">
      <w:numFmt w:val="bullet"/>
      <w:lvlText w:val=""/>
      <w:lvlJc w:val="left"/>
      <w:pPr>
        <w:tabs>
          <w:tab w:val="num" w:pos="720"/>
        </w:tabs>
        <w:ind w:left="720" w:hanging="360"/>
      </w:pPr>
      <w:rPr>
        <w:rFonts w:ascii="Symbol" w:eastAsia="Times New Roman" w:hAnsi="Symbol" w:hint="default"/>
      </w:rPr>
    </w:lvl>
    <w:lvl w:ilvl="1" w:tplc="D31A07FC" w:tentative="1">
      <w:start w:val="1"/>
      <w:numFmt w:val="bullet"/>
      <w:lvlText w:val="o"/>
      <w:lvlJc w:val="left"/>
      <w:pPr>
        <w:tabs>
          <w:tab w:val="num" w:pos="1440"/>
        </w:tabs>
        <w:ind w:left="1440" w:hanging="360"/>
      </w:pPr>
      <w:rPr>
        <w:rFonts w:ascii="Courier New" w:hAnsi="Courier New" w:hint="default"/>
      </w:rPr>
    </w:lvl>
    <w:lvl w:ilvl="2" w:tplc="D21060A8" w:tentative="1">
      <w:start w:val="1"/>
      <w:numFmt w:val="bullet"/>
      <w:lvlText w:val=""/>
      <w:lvlJc w:val="left"/>
      <w:pPr>
        <w:tabs>
          <w:tab w:val="num" w:pos="2160"/>
        </w:tabs>
        <w:ind w:left="2160" w:hanging="360"/>
      </w:pPr>
      <w:rPr>
        <w:rFonts w:ascii="Wingdings" w:hAnsi="Wingdings" w:hint="default"/>
      </w:rPr>
    </w:lvl>
    <w:lvl w:ilvl="3" w:tplc="66BCAFA6" w:tentative="1">
      <w:start w:val="1"/>
      <w:numFmt w:val="bullet"/>
      <w:lvlText w:val=""/>
      <w:lvlJc w:val="left"/>
      <w:pPr>
        <w:tabs>
          <w:tab w:val="num" w:pos="2880"/>
        </w:tabs>
        <w:ind w:left="2880" w:hanging="360"/>
      </w:pPr>
      <w:rPr>
        <w:rFonts w:ascii="Symbol" w:hAnsi="Symbol" w:hint="default"/>
      </w:rPr>
    </w:lvl>
    <w:lvl w:ilvl="4" w:tplc="FC32D730" w:tentative="1">
      <w:start w:val="1"/>
      <w:numFmt w:val="bullet"/>
      <w:lvlText w:val="o"/>
      <w:lvlJc w:val="left"/>
      <w:pPr>
        <w:tabs>
          <w:tab w:val="num" w:pos="3600"/>
        </w:tabs>
        <w:ind w:left="3600" w:hanging="360"/>
      </w:pPr>
      <w:rPr>
        <w:rFonts w:ascii="Courier New" w:hAnsi="Courier New" w:hint="default"/>
      </w:rPr>
    </w:lvl>
    <w:lvl w:ilvl="5" w:tplc="C364564C" w:tentative="1">
      <w:start w:val="1"/>
      <w:numFmt w:val="bullet"/>
      <w:lvlText w:val=""/>
      <w:lvlJc w:val="left"/>
      <w:pPr>
        <w:tabs>
          <w:tab w:val="num" w:pos="4320"/>
        </w:tabs>
        <w:ind w:left="4320" w:hanging="360"/>
      </w:pPr>
      <w:rPr>
        <w:rFonts w:ascii="Wingdings" w:hAnsi="Wingdings" w:hint="default"/>
      </w:rPr>
    </w:lvl>
    <w:lvl w:ilvl="6" w:tplc="1C8229D6" w:tentative="1">
      <w:start w:val="1"/>
      <w:numFmt w:val="bullet"/>
      <w:lvlText w:val=""/>
      <w:lvlJc w:val="left"/>
      <w:pPr>
        <w:tabs>
          <w:tab w:val="num" w:pos="5040"/>
        </w:tabs>
        <w:ind w:left="5040" w:hanging="360"/>
      </w:pPr>
      <w:rPr>
        <w:rFonts w:ascii="Symbol" w:hAnsi="Symbol" w:hint="default"/>
      </w:rPr>
    </w:lvl>
    <w:lvl w:ilvl="7" w:tplc="4BAED4CA" w:tentative="1">
      <w:start w:val="1"/>
      <w:numFmt w:val="bullet"/>
      <w:lvlText w:val="o"/>
      <w:lvlJc w:val="left"/>
      <w:pPr>
        <w:tabs>
          <w:tab w:val="num" w:pos="5760"/>
        </w:tabs>
        <w:ind w:left="5760" w:hanging="360"/>
      </w:pPr>
      <w:rPr>
        <w:rFonts w:ascii="Courier New" w:hAnsi="Courier New" w:hint="default"/>
      </w:rPr>
    </w:lvl>
    <w:lvl w:ilvl="8" w:tplc="06CE59FE" w:tentative="1">
      <w:start w:val="1"/>
      <w:numFmt w:val="bullet"/>
      <w:lvlText w:val=""/>
      <w:lvlJc w:val="left"/>
      <w:pPr>
        <w:tabs>
          <w:tab w:val="num" w:pos="6480"/>
        </w:tabs>
        <w:ind w:left="6480" w:hanging="360"/>
      </w:pPr>
      <w:rPr>
        <w:rFonts w:ascii="Wingdings" w:hAnsi="Wingdings" w:hint="default"/>
      </w:rPr>
    </w:lvl>
  </w:abstractNum>
  <w:abstractNum w:abstractNumId="19">
    <w:nsid w:val="50B152BA"/>
    <w:multiLevelType w:val="hybridMultilevel"/>
    <w:tmpl w:val="E8AEF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F87358"/>
    <w:multiLevelType w:val="hybridMultilevel"/>
    <w:tmpl w:val="97D2CD48"/>
    <w:lvl w:ilvl="0" w:tplc="D9D430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4F4B3A"/>
    <w:multiLevelType w:val="hybridMultilevel"/>
    <w:tmpl w:val="1354DD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C62A42"/>
    <w:multiLevelType w:val="hybridMultilevel"/>
    <w:tmpl w:val="F09046FC"/>
    <w:lvl w:ilvl="0" w:tplc="A006AF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B223D9F"/>
    <w:multiLevelType w:val="hybridMultilevel"/>
    <w:tmpl w:val="822E95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6762B3"/>
    <w:multiLevelType w:val="hybridMultilevel"/>
    <w:tmpl w:val="0D527A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nsid w:val="70BA5615"/>
    <w:multiLevelType w:val="multilevel"/>
    <w:tmpl w:val="7564EC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nsid w:val="75993C6C"/>
    <w:multiLevelType w:val="hybridMultilevel"/>
    <w:tmpl w:val="D9A04B78"/>
    <w:lvl w:ilvl="0" w:tplc="873218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59B0BD6"/>
    <w:multiLevelType w:val="hybridMultilevel"/>
    <w:tmpl w:val="AB52D6C2"/>
    <w:lvl w:ilvl="0" w:tplc="D9D430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11"/>
  </w:num>
  <w:num w:numId="4">
    <w:abstractNumId w:val="18"/>
  </w:num>
  <w:num w:numId="5">
    <w:abstractNumId w:val="1"/>
  </w:num>
  <w:num w:numId="6">
    <w:abstractNumId w:val="15"/>
  </w:num>
  <w:num w:numId="7">
    <w:abstractNumId w:val="0"/>
  </w:num>
  <w:num w:numId="8">
    <w:abstractNumId w:val="24"/>
  </w:num>
  <w:num w:numId="9">
    <w:abstractNumId w:val="25"/>
  </w:num>
  <w:num w:numId="10">
    <w:abstractNumId w:val="19"/>
  </w:num>
  <w:num w:numId="11">
    <w:abstractNumId w:val="5"/>
  </w:num>
  <w:num w:numId="12">
    <w:abstractNumId w:val="16"/>
  </w:num>
  <w:num w:numId="13">
    <w:abstractNumId w:val="3"/>
  </w:num>
  <w:num w:numId="14">
    <w:abstractNumId w:val="2"/>
  </w:num>
  <w:num w:numId="15">
    <w:abstractNumId w:val="21"/>
  </w:num>
  <w:num w:numId="16">
    <w:abstractNumId w:val="20"/>
  </w:num>
  <w:num w:numId="17">
    <w:abstractNumId w:val="7"/>
  </w:num>
  <w:num w:numId="18">
    <w:abstractNumId w:val="26"/>
  </w:num>
  <w:num w:numId="19">
    <w:abstractNumId w:val="23"/>
  </w:num>
  <w:num w:numId="20">
    <w:abstractNumId w:val="17"/>
  </w:num>
  <w:num w:numId="21">
    <w:abstractNumId w:val="22"/>
  </w:num>
  <w:num w:numId="22">
    <w:abstractNumId w:val="12"/>
  </w:num>
  <w:num w:numId="23">
    <w:abstractNumId w:val="4"/>
  </w:num>
  <w:num w:numId="24">
    <w:abstractNumId w:val="13"/>
  </w:num>
  <w:num w:numId="25">
    <w:abstractNumId w:val="27"/>
  </w:num>
  <w:num w:numId="26">
    <w:abstractNumId w:val="10"/>
  </w:num>
  <w:num w:numId="27">
    <w:abstractNumId w:val="6"/>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proofState w:spelling="clean" w:grammar="clean"/>
  <w:documentProtection w:edit="readOnly" w:enforcement="1" w:cryptProviderType="rsaFull" w:cryptAlgorithmClass="hash" w:cryptAlgorithmType="typeAny" w:cryptAlgorithmSid="4" w:cryptSpinCount="100000" w:hash="NSsfMqikAa6YdaZrEOZM9OpHh0A=" w:salt="W+GYQ4AXh0qU0hRE4G+1nw=="/>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071"/>
    <w:rsid w:val="00001568"/>
    <w:rsid w:val="00002949"/>
    <w:rsid w:val="00007184"/>
    <w:rsid w:val="0000762C"/>
    <w:rsid w:val="00007BDD"/>
    <w:rsid w:val="00007F4B"/>
    <w:rsid w:val="00010DB6"/>
    <w:rsid w:val="0001343E"/>
    <w:rsid w:val="00016542"/>
    <w:rsid w:val="00016F40"/>
    <w:rsid w:val="00020E12"/>
    <w:rsid w:val="00022C3A"/>
    <w:rsid w:val="00022F2F"/>
    <w:rsid w:val="000238D7"/>
    <w:rsid w:val="00025118"/>
    <w:rsid w:val="00025350"/>
    <w:rsid w:val="000262CE"/>
    <w:rsid w:val="00031E78"/>
    <w:rsid w:val="00032348"/>
    <w:rsid w:val="000328C0"/>
    <w:rsid w:val="00032BF7"/>
    <w:rsid w:val="00033B15"/>
    <w:rsid w:val="00034D91"/>
    <w:rsid w:val="000353B2"/>
    <w:rsid w:val="00035818"/>
    <w:rsid w:val="000359C1"/>
    <w:rsid w:val="00035CB7"/>
    <w:rsid w:val="000408E1"/>
    <w:rsid w:val="00041E2B"/>
    <w:rsid w:val="0004434F"/>
    <w:rsid w:val="00045578"/>
    <w:rsid w:val="00047803"/>
    <w:rsid w:val="000478B8"/>
    <w:rsid w:val="000478C9"/>
    <w:rsid w:val="0005023F"/>
    <w:rsid w:val="0005033B"/>
    <w:rsid w:val="00050F52"/>
    <w:rsid w:val="000522A8"/>
    <w:rsid w:val="00052F31"/>
    <w:rsid w:val="00052FED"/>
    <w:rsid w:val="00053045"/>
    <w:rsid w:val="0005437D"/>
    <w:rsid w:val="00057A1D"/>
    <w:rsid w:val="00061402"/>
    <w:rsid w:val="00062591"/>
    <w:rsid w:val="000636A1"/>
    <w:rsid w:val="00063D43"/>
    <w:rsid w:val="00063E4E"/>
    <w:rsid w:val="00066813"/>
    <w:rsid w:val="000672E9"/>
    <w:rsid w:val="00067AD8"/>
    <w:rsid w:val="00071D40"/>
    <w:rsid w:val="00072567"/>
    <w:rsid w:val="000725DB"/>
    <w:rsid w:val="0007635D"/>
    <w:rsid w:val="00080D33"/>
    <w:rsid w:val="00081569"/>
    <w:rsid w:val="000827FA"/>
    <w:rsid w:val="00082C53"/>
    <w:rsid w:val="00083FAD"/>
    <w:rsid w:val="0008590A"/>
    <w:rsid w:val="00085CB0"/>
    <w:rsid w:val="0008608B"/>
    <w:rsid w:val="00092CCB"/>
    <w:rsid w:val="000937AE"/>
    <w:rsid w:val="00093D49"/>
    <w:rsid w:val="000952E5"/>
    <w:rsid w:val="00095EE9"/>
    <w:rsid w:val="000A0DEC"/>
    <w:rsid w:val="000A16A8"/>
    <w:rsid w:val="000A25AD"/>
    <w:rsid w:val="000A2BEC"/>
    <w:rsid w:val="000A3ADF"/>
    <w:rsid w:val="000A641F"/>
    <w:rsid w:val="000A72F8"/>
    <w:rsid w:val="000A7560"/>
    <w:rsid w:val="000B046E"/>
    <w:rsid w:val="000B182D"/>
    <w:rsid w:val="000B25F4"/>
    <w:rsid w:val="000B3C7E"/>
    <w:rsid w:val="000B521D"/>
    <w:rsid w:val="000C08CF"/>
    <w:rsid w:val="000C122E"/>
    <w:rsid w:val="000C305E"/>
    <w:rsid w:val="000C6448"/>
    <w:rsid w:val="000C7E01"/>
    <w:rsid w:val="000D0050"/>
    <w:rsid w:val="000D17D5"/>
    <w:rsid w:val="000D72E7"/>
    <w:rsid w:val="000E2155"/>
    <w:rsid w:val="000E2493"/>
    <w:rsid w:val="000E3ECA"/>
    <w:rsid w:val="000E61F9"/>
    <w:rsid w:val="000E6E4E"/>
    <w:rsid w:val="000F0964"/>
    <w:rsid w:val="000F12FE"/>
    <w:rsid w:val="000F1D71"/>
    <w:rsid w:val="0010238E"/>
    <w:rsid w:val="0010436C"/>
    <w:rsid w:val="00105C4A"/>
    <w:rsid w:val="00107056"/>
    <w:rsid w:val="001117B5"/>
    <w:rsid w:val="00111FE4"/>
    <w:rsid w:val="00113A34"/>
    <w:rsid w:val="00114D97"/>
    <w:rsid w:val="00116A0A"/>
    <w:rsid w:val="0012206B"/>
    <w:rsid w:val="001239AC"/>
    <w:rsid w:val="001240A6"/>
    <w:rsid w:val="00124A47"/>
    <w:rsid w:val="001265CA"/>
    <w:rsid w:val="00127073"/>
    <w:rsid w:val="0013068A"/>
    <w:rsid w:val="001307F1"/>
    <w:rsid w:val="00130FA2"/>
    <w:rsid w:val="00131D5D"/>
    <w:rsid w:val="00132123"/>
    <w:rsid w:val="0013234E"/>
    <w:rsid w:val="00137FFB"/>
    <w:rsid w:val="00140689"/>
    <w:rsid w:val="0014073B"/>
    <w:rsid w:val="00141933"/>
    <w:rsid w:val="00142097"/>
    <w:rsid w:val="001424A3"/>
    <w:rsid w:val="00146489"/>
    <w:rsid w:val="0014682F"/>
    <w:rsid w:val="00152359"/>
    <w:rsid w:val="00152A18"/>
    <w:rsid w:val="001534ED"/>
    <w:rsid w:val="00155592"/>
    <w:rsid w:val="00155ADD"/>
    <w:rsid w:val="001561C7"/>
    <w:rsid w:val="00157071"/>
    <w:rsid w:val="00160B55"/>
    <w:rsid w:val="00161946"/>
    <w:rsid w:val="00161A44"/>
    <w:rsid w:val="00163096"/>
    <w:rsid w:val="0016357F"/>
    <w:rsid w:val="0016558D"/>
    <w:rsid w:val="00165685"/>
    <w:rsid w:val="001672A3"/>
    <w:rsid w:val="00167D91"/>
    <w:rsid w:val="001715AB"/>
    <w:rsid w:val="00173199"/>
    <w:rsid w:val="00173DE2"/>
    <w:rsid w:val="00180FC8"/>
    <w:rsid w:val="00182F04"/>
    <w:rsid w:val="00182F78"/>
    <w:rsid w:val="001837AD"/>
    <w:rsid w:val="00184DDC"/>
    <w:rsid w:val="001868D6"/>
    <w:rsid w:val="00190F9E"/>
    <w:rsid w:val="001942E1"/>
    <w:rsid w:val="00194C88"/>
    <w:rsid w:val="00196CA7"/>
    <w:rsid w:val="00197134"/>
    <w:rsid w:val="001A122B"/>
    <w:rsid w:val="001A1CB0"/>
    <w:rsid w:val="001A2000"/>
    <w:rsid w:val="001A26B1"/>
    <w:rsid w:val="001A3AD5"/>
    <w:rsid w:val="001A4B14"/>
    <w:rsid w:val="001A4DF6"/>
    <w:rsid w:val="001A4F18"/>
    <w:rsid w:val="001A5816"/>
    <w:rsid w:val="001A702F"/>
    <w:rsid w:val="001B0B52"/>
    <w:rsid w:val="001B4436"/>
    <w:rsid w:val="001B4D1A"/>
    <w:rsid w:val="001B5C81"/>
    <w:rsid w:val="001B5C89"/>
    <w:rsid w:val="001B5E5C"/>
    <w:rsid w:val="001B7392"/>
    <w:rsid w:val="001B7A91"/>
    <w:rsid w:val="001C0915"/>
    <w:rsid w:val="001C1299"/>
    <w:rsid w:val="001C1EFA"/>
    <w:rsid w:val="001C3A81"/>
    <w:rsid w:val="001C5D97"/>
    <w:rsid w:val="001C64FE"/>
    <w:rsid w:val="001C7676"/>
    <w:rsid w:val="001D1D37"/>
    <w:rsid w:val="001D24BE"/>
    <w:rsid w:val="001D24E0"/>
    <w:rsid w:val="001D3274"/>
    <w:rsid w:val="001D35CB"/>
    <w:rsid w:val="001D56C3"/>
    <w:rsid w:val="001D6E65"/>
    <w:rsid w:val="001E0B3E"/>
    <w:rsid w:val="001E5893"/>
    <w:rsid w:val="001E5953"/>
    <w:rsid w:val="001E6FEA"/>
    <w:rsid w:val="001F1330"/>
    <w:rsid w:val="001F1419"/>
    <w:rsid w:val="001F2DAF"/>
    <w:rsid w:val="001F4D67"/>
    <w:rsid w:val="001F4DBE"/>
    <w:rsid w:val="001F77ED"/>
    <w:rsid w:val="002017ED"/>
    <w:rsid w:val="00201A09"/>
    <w:rsid w:val="00201E07"/>
    <w:rsid w:val="00203CF2"/>
    <w:rsid w:val="0020556C"/>
    <w:rsid w:val="002129C3"/>
    <w:rsid w:val="002131F4"/>
    <w:rsid w:val="002134EA"/>
    <w:rsid w:val="002156C8"/>
    <w:rsid w:val="00215DB8"/>
    <w:rsid w:val="0022355E"/>
    <w:rsid w:val="0022692A"/>
    <w:rsid w:val="00226FDA"/>
    <w:rsid w:val="00226FEF"/>
    <w:rsid w:val="002278E9"/>
    <w:rsid w:val="00232DE7"/>
    <w:rsid w:val="002339FC"/>
    <w:rsid w:val="002352EC"/>
    <w:rsid w:val="0023755F"/>
    <w:rsid w:val="00241BD0"/>
    <w:rsid w:val="00241D5E"/>
    <w:rsid w:val="002423C3"/>
    <w:rsid w:val="0024322D"/>
    <w:rsid w:val="00243B53"/>
    <w:rsid w:val="00244AC9"/>
    <w:rsid w:val="0024514D"/>
    <w:rsid w:val="00246961"/>
    <w:rsid w:val="002500A2"/>
    <w:rsid w:val="0025042C"/>
    <w:rsid w:val="002545BC"/>
    <w:rsid w:val="0025462D"/>
    <w:rsid w:val="00255204"/>
    <w:rsid w:val="002608D4"/>
    <w:rsid w:val="00262486"/>
    <w:rsid w:val="00262525"/>
    <w:rsid w:val="00263485"/>
    <w:rsid w:val="00263807"/>
    <w:rsid w:val="00266901"/>
    <w:rsid w:val="00267FEF"/>
    <w:rsid w:val="00271B65"/>
    <w:rsid w:val="00271DF8"/>
    <w:rsid w:val="00273897"/>
    <w:rsid w:val="002744AF"/>
    <w:rsid w:val="002750EA"/>
    <w:rsid w:val="002755D9"/>
    <w:rsid w:val="00275E0B"/>
    <w:rsid w:val="00281DA1"/>
    <w:rsid w:val="00281EAB"/>
    <w:rsid w:val="002831E2"/>
    <w:rsid w:val="00283F8A"/>
    <w:rsid w:val="00284FF0"/>
    <w:rsid w:val="0028590F"/>
    <w:rsid w:val="002865E9"/>
    <w:rsid w:val="0029003B"/>
    <w:rsid w:val="00290308"/>
    <w:rsid w:val="0029347C"/>
    <w:rsid w:val="00295323"/>
    <w:rsid w:val="002954D2"/>
    <w:rsid w:val="002977CC"/>
    <w:rsid w:val="002A1071"/>
    <w:rsid w:val="002A168B"/>
    <w:rsid w:val="002A5A17"/>
    <w:rsid w:val="002A60B2"/>
    <w:rsid w:val="002A6CA1"/>
    <w:rsid w:val="002B08CD"/>
    <w:rsid w:val="002B4719"/>
    <w:rsid w:val="002B675A"/>
    <w:rsid w:val="002C0C24"/>
    <w:rsid w:val="002C2AA5"/>
    <w:rsid w:val="002C2BA9"/>
    <w:rsid w:val="002C3DF0"/>
    <w:rsid w:val="002C550D"/>
    <w:rsid w:val="002C5604"/>
    <w:rsid w:val="002C795A"/>
    <w:rsid w:val="002C7EDA"/>
    <w:rsid w:val="002D2479"/>
    <w:rsid w:val="002D2BB3"/>
    <w:rsid w:val="002D4429"/>
    <w:rsid w:val="002D675B"/>
    <w:rsid w:val="002D6A20"/>
    <w:rsid w:val="002D7387"/>
    <w:rsid w:val="002E006B"/>
    <w:rsid w:val="002E036C"/>
    <w:rsid w:val="002E1DD4"/>
    <w:rsid w:val="002E3BCE"/>
    <w:rsid w:val="002E3E48"/>
    <w:rsid w:val="002E4915"/>
    <w:rsid w:val="002E71C7"/>
    <w:rsid w:val="002E7DE0"/>
    <w:rsid w:val="002E7EDE"/>
    <w:rsid w:val="002F0CE2"/>
    <w:rsid w:val="002F3309"/>
    <w:rsid w:val="002F3A43"/>
    <w:rsid w:val="002F3CE8"/>
    <w:rsid w:val="002F4C03"/>
    <w:rsid w:val="002F7071"/>
    <w:rsid w:val="00300254"/>
    <w:rsid w:val="003012FD"/>
    <w:rsid w:val="00302B6F"/>
    <w:rsid w:val="00302DF6"/>
    <w:rsid w:val="00304C4E"/>
    <w:rsid w:val="003053AA"/>
    <w:rsid w:val="00306B6E"/>
    <w:rsid w:val="00310192"/>
    <w:rsid w:val="003140DE"/>
    <w:rsid w:val="00314551"/>
    <w:rsid w:val="00316137"/>
    <w:rsid w:val="0032314C"/>
    <w:rsid w:val="003243F3"/>
    <w:rsid w:val="00324AC9"/>
    <w:rsid w:val="00327D9E"/>
    <w:rsid w:val="0033071A"/>
    <w:rsid w:val="00332F13"/>
    <w:rsid w:val="00333117"/>
    <w:rsid w:val="00335017"/>
    <w:rsid w:val="00340E81"/>
    <w:rsid w:val="003410A9"/>
    <w:rsid w:val="00341641"/>
    <w:rsid w:val="00342F3B"/>
    <w:rsid w:val="00343552"/>
    <w:rsid w:val="00346D56"/>
    <w:rsid w:val="003507CB"/>
    <w:rsid w:val="00351561"/>
    <w:rsid w:val="00351A47"/>
    <w:rsid w:val="0035667E"/>
    <w:rsid w:val="0036037B"/>
    <w:rsid w:val="00360E81"/>
    <w:rsid w:val="00361144"/>
    <w:rsid w:val="00362FA9"/>
    <w:rsid w:val="00364030"/>
    <w:rsid w:val="003668AF"/>
    <w:rsid w:val="00371CFA"/>
    <w:rsid w:val="003725F7"/>
    <w:rsid w:val="00373F1A"/>
    <w:rsid w:val="00380BA9"/>
    <w:rsid w:val="0038107E"/>
    <w:rsid w:val="003847F2"/>
    <w:rsid w:val="00385BF7"/>
    <w:rsid w:val="00385E09"/>
    <w:rsid w:val="00386CA6"/>
    <w:rsid w:val="00391570"/>
    <w:rsid w:val="003920FA"/>
    <w:rsid w:val="00392A4B"/>
    <w:rsid w:val="0039376C"/>
    <w:rsid w:val="00393C64"/>
    <w:rsid w:val="0039414F"/>
    <w:rsid w:val="003A21D6"/>
    <w:rsid w:val="003A2B22"/>
    <w:rsid w:val="003A34D8"/>
    <w:rsid w:val="003A4273"/>
    <w:rsid w:val="003A42F8"/>
    <w:rsid w:val="003A44CC"/>
    <w:rsid w:val="003A45B0"/>
    <w:rsid w:val="003A4AA2"/>
    <w:rsid w:val="003A5FA6"/>
    <w:rsid w:val="003A635C"/>
    <w:rsid w:val="003B02A6"/>
    <w:rsid w:val="003B3721"/>
    <w:rsid w:val="003B40B6"/>
    <w:rsid w:val="003C0EDE"/>
    <w:rsid w:val="003C10D8"/>
    <w:rsid w:val="003C15E9"/>
    <w:rsid w:val="003C4544"/>
    <w:rsid w:val="003C4871"/>
    <w:rsid w:val="003C49F3"/>
    <w:rsid w:val="003C698A"/>
    <w:rsid w:val="003C7074"/>
    <w:rsid w:val="003C716A"/>
    <w:rsid w:val="003D0097"/>
    <w:rsid w:val="003D05B2"/>
    <w:rsid w:val="003D1395"/>
    <w:rsid w:val="003D250A"/>
    <w:rsid w:val="003D2EE7"/>
    <w:rsid w:val="003D35FB"/>
    <w:rsid w:val="003D3841"/>
    <w:rsid w:val="003D4412"/>
    <w:rsid w:val="003D4661"/>
    <w:rsid w:val="003E17EF"/>
    <w:rsid w:val="003E4C60"/>
    <w:rsid w:val="003E4D13"/>
    <w:rsid w:val="003E700A"/>
    <w:rsid w:val="003E7AD1"/>
    <w:rsid w:val="003F020E"/>
    <w:rsid w:val="003F070E"/>
    <w:rsid w:val="003F19B6"/>
    <w:rsid w:val="003F1E1C"/>
    <w:rsid w:val="003F680F"/>
    <w:rsid w:val="003F6C6A"/>
    <w:rsid w:val="003F722A"/>
    <w:rsid w:val="003F75D5"/>
    <w:rsid w:val="00400922"/>
    <w:rsid w:val="00403228"/>
    <w:rsid w:val="00404037"/>
    <w:rsid w:val="0040573C"/>
    <w:rsid w:val="00405BA8"/>
    <w:rsid w:val="0040601D"/>
    <w:rsid w:val="0041077D"/>
    <w:rsid w:val="00411262"/>
    <w:rsid w:val="00411624"/>
    <w:rsid w:val="00412A6A"/>
    <w:rsid w:val="00414CB4"/>
    <w:rsid w:val="00414FEC"/>
    <w:rsid w:val="00415A15"/>
    <w:rsid w:val="0041645C"/>
    <w:rsid w:val="00422B99"/>
    <w:rsid w:val="004233D3"/>
    <w:rsid w:val="00424896"/>
    <w:rsid w:val="004261C5"/>
    <w:rsid w:val="00427D2F"/>
    <w:rsid w:val="00430494"/>
    <w:rsid w:val="00431206"/>
    <w:rsid w:val="00433386"/>
    <w:rsid w:val="0043342B"/>
    <w:rsid w:val="004337B8"/>
    <w:rsid w:val="00434054"/>
    <w:rsid w:val="00434DCE"/>
    <w:rsid w:val="00435EC3"/>
    <w:rsid w:val="00436997"/>
    <w:rsid w:val="00440BA8"/>
    <w:rsid w:val="00441805"/>
    <w:rsid w:val="00442BAB"/>
    <w:rsid w:val="00444A66"/>
    <w:rsid w:val="004473B4"/>
    <w:rsid w:val="004506AA"/>
    <w:rsid w:val="0045114E"/>
    <w:rsid w:val="004512F5"/>
    <w:rsid w:val="00453614"/>
    <w:rsid w:val="00453E16"/>
    <w:rsid w:val="00453F19"/>
    <w:rsid w:val="00455E80"/>
    <w:rsid w:val="0045669C"/>
    <w:rsid w:val="00457CC5"/>
    <w:rsid w:val="00460C2D"/>
    <w:rsid w:val="00462587"/>
    <w:rsid w:val="004635F6"/>
    <w:rsid w:val="00464571"/>
    <w:rsid w:val="00465D2B"/>
    <w:rsid w:val="004673C7"/>
    <w:rsid w:val="00477B81"/>
    <w:rsid w:val="00481EFF"/>
    <w:rsid w:val="004830C4"/>
    <w:rsid w:val="004839CB"/>
    <w:rsid w:val="00483F06"/>
    <w:rsid w:val="00484E95"/>
    <w:rsid w:val="004852D3"/>
    <w:rsid w:val="00485425"/>
    <w:rsid w:val="0048557E"/>
    <w:rsid w:val="00486676"/>
    <w:rsid w:val="004867BA"/>
    <w:rsid w:val="00490774"/>
    <w:rsid w:val="00491201"/>
    <w:rsid w:val="00492404"/>
    <w:rsid w:val="004931DE"/>
    <w:rsid w:val="00493FD3"/>
    <w:rsid w:val="00494897"/>
    <w:rsid w:val="00496A40"/>
    <w:rsid w:val="00496A6A"/>
    <w:rsid w:val="00497857"/>
    <w:rsid w:val="004A1579"/>
    <w:rsid w:val="004A1DAA"/>
    <w:rsid w:val="004A4279"/>
    <w:rsid w:val="004A509C"/>
    <w:rsid w:val="004A73ED"/>
    <w:rsid w:val="004B19AE"/>
    <w:rsid w:val="004B2160"/>
    <w:rsid w:val="004B34AA"/>
    <w:rsid w:val="004B3551"/>
    <w:rsid w:val="004B4938"/>
    <w:rsid w:val="004B618A"/>
    <w:rsid w:val="004B7D24"/>
    <w:rsid w:val="004C03E5"/>
    <w:rsid w:val="004C0F59"/>
    <w:rsid w:val="004C1759"/>
    <w:rsid w:val="004C2B17"/>
    <w:rsid w:val="004C6293"/>
    <w:rsid w:val="004C6FCA"/>
    <w:rsid w:val="004D16A9"/>
    <w:rsid w:val="004D1A14"/>
    <w:rsid w:val="004D416C"/>
    <w:rsid w:val="004D41C7"/>
    <w:rsid w:val="004D5014"/>
    <w:rsid w:val="004D56BB"/>
    <w:rsid w:val="004D6F24"/>
    <w:rsid w:val="004E11A9"/>
    <w:rsid w:val="004E1DEF"/>
    <w:rsid w:val="004E223D"/>
    <w:rsid w:val="004E59AF"/>
    <w:rsid w:val="004E63CE"/>
    <w:rsid w:val="004F087D"/>
    <w:rsid w:val="004F5DA4"/>
    <w:rsid w:val="004F68DB"/>
    <w:rsid w:val="004F6D81"/>
    <w:rsid w:val="004F6F68"/>
    <w:rsid w:val="00501719"/>
    <w:rsid w:val="0050174B"/>
    <w:rsid w:val="0050269C"/>
    <w:rsid w:val="005044A3"/>
    <w:rsid w:val="005066C0"/>
    <w:rsid w:val="0051114D"/>
    <w:rsid w:val="005116C2"/>
    <w:rsid w:val="00511E3D"/>
    <w:rsid w:val="00512B30"/>
    <w:rsid w:val="00516DED"/>
    <w:rsid w:val="00517050"/>
    <w:rsid w:val="0051767A"/>
    <w:rsid w:val="00517875"/>
    <w:rsid w:val="00523A07"/>
    <w:rsid w:val="0052439C"/>
    <w:rsid w:val="005248BF"/>
    <w:rsid w:val="005249BE"/>
    <w:rsid w:val="0052652D"/>
    <w:rsid w:val="00530CE8"/>
    <w:rsid w:val="00531222"/>
    <w:rsid w:val="0053287C"/>
    <w:rsid w:val="00532EC0"/>
    <w:rsid w:val="00535DFD"/>
    <w:rsid w:val="00536C01"/>
    <w:rsid w:val="005375EF"/>
    <w:rsid w:val="00540C29"/>
    <w:rsid w:val="00540E4A"/>
    <w:rsid w:val="005412B7"/>
    <w:rsid w:val="005425E9"/>
    <w:rsid w:val="00542DB0"/>
    <w:rsid w:val="00543C45"/>
    <w:rsid w:val="0054479A"/>
    <w:rsid w:val="00547A01"/>
    <w:rsid w:val="0055127F"/>
    <w:rsid w:val="00553ECD"/>
    <w:rsid w:val="005545E1"/>
    <w:rsid w:val="0055614E"/>
    <w:rsid w:val="00556358"/>
    <w:rsid w:val="00556827"/>
    <w:rsid w:val="00557757"/>
    <w:rsid w:val="005603CC"/>
    <w:rsid w:val="0057062B"/>
    <w:rsid w:val="00570D2A"/>
    <w:rsid w:val="0057193F"/>
    <w:rsid w:val="005723C3"/>
    <w:rsid w:val="0057280E"/>
    <w:rsid w:val="00572C58"/>
    <w:rsid w:val="00572D55"/>
    <w:rsid w:val="00576C6E"/>
    <w:rsid w:val="005779F0"/>
    <w:rsid w:val="00580A06"/>
    <w:rsid w:val="005812FE"/>
    <w:rsid w:val="00583063"/>
    <w:rsid w:val="0058331F"/>
    <w:rsid w:val="00585A67"/>
    <w:rsid w:val="00585FD1"/>
    <w:rsid w:val="00587843"/>
    <w:rsid w:val="00590B6B"/>
    <w:rsid w:val="00590BE0"/>
    <w:rsid w:val="005914EF"/>
    <w:rsid w:val="005946A9"/>
    <w:rsid w:val="005978D4"/>
    <w:rsid w:val="005A085A"/>
    <w:rsid w:val="005A29BC"/>
    <w:rsid w:val="005A34AE"/>
    <w:rsid w:val="005A484A"/>
    <w:rsid w:val="005A70EE"/>
    <w:rsid w:val="005A7EFA"/>
    <w:rsid w:val="005A7EFE"/>
    <w:rsid w:val="005B004C"/>
    <w:rsid w:val="005B046F"/>
    <w:rsid w:val="005B08B4"/>
    <w:rsid w:val="005B1C59"/>
    <w:rsid w:val="005B3460"/>
    <w:rsid w:val="005B501E"/>
    <w:rsid w:val="005C2BFF"/>
    <w:rsid w:val="005C54DD"/>
    <w:rsid w:val="005C5A14"/>
    <w:rsid w:val="005C631D"/>
    <w:rsid w:val="005C6361"/>
    <w:rsid w:val="005C73EB"/>
    <w:rsid w:val="005D1336"/>
    <w:rsid w:val="005D158E"/>
    <w:rsid w:val="005D1752"/>
    <w:rsid w:val="005D17FF"/>
    <w:rsid w:val="005D2039"/>
    <w:rsid w:val="005D2761"/>
    <w:rsid w:val="005D3A2F"/>
    <w:rsid w:val="005D5C12"/>
    <w:rsid w:val="005D62E8"/>
    <w:rsid w:val="005D738D"/>
    <w:rsid w:val="005D78C5"/>
    <w:rsid w:val="005E0310"/>
    <w:rsid w:val="005E0680"/>
    <w:rsid w:val="005E07B2"/>
    <w:rsid w:val="005E0C67"/>
    <w:rsid w:val="005E1D9B"/>
    <w:rsid w:val="005E2257"/>
    <w:rsid w:val="005E26EC"/>
    <w:rsid w:val="005E2D78"/>
    <w:rsid w:val="005E352B"/>
    <w:rsid w:val="005E4121"/>
    <w:rsid w:val="005E5AA3"/>
    <w:rsid w:val="005E6228"/>
    <w:rsid w:val="005E6FB3"/>
    <w:rsid w:val="005E7CD8"/>
    <w:rsid w:val="005F07D6"/>
    <w:rsid w:val="005F1AE1"/>
    <w:rsid w:val="005F31C4"/>
    <w:rsid w:val="005F4AAC"/>
    <w:rsid w:val="005F4DE1"/>
    <w:rsid w:val="005F5276"/>
    <w:rsid w:val="005F58BF"/>
    <w:rsid w:val="005F7F37"/>
    <w:rsid w:val="00600CC3"/>
    <w:rsid w:val="00601320"/>
    <w:rsid w:val="006029AF"/>
    <w:rsid w:val="006030A5"/>
    <w:rsid w:val="00603E11"/>
    <w:rsid w:val="006047D8"/>
    <w:rsid w:val="00605F86"/>
    <w:rsid w:val="006065F1"/>
    <w:rsid w:val="00610739"/>
    <w:rsid w:val="00611672"/>
    <w:rsid w:val="006116F3"/>
    <w:rsid w:val="00612A32"/>
    <w:rsid w:val="00615C57"/>
    <w:rsid w:val="00616228"/>
    <w:rsid w:val="006165B2"/>
    <w:rsid w:val="00616602"/>
    <w:rsid w:val="00617E4C"/>
    <w:rsid w:val="0062084A"/>
    <w:rsid w:val="00621AE7"/>
    <w:rsid w:val="00623A4D"/>
    <w:rsid w:val="00623DF5"/>
    <w:rsid w:val="00623F35"/>
    <w:rsid w:val="00624333"/>
    <w:rsid w:val="00624939"/>
    <w:rsid w:val="00625E5E"/>
    <w:rsid w:val="00626692"/>
    <w:rsid w:val="00626DC7"/>
    <w:rsid w:val="006270C5"/>
    <w:rsid w:val="00627707"/>
    <w:rsid w:val="006309E0"/>
    <w:rsid w:val="006323A0"/>
    <w:rsid w:val="006348B9"/>
    <w:rsid w:val="00634F7A"/>
    <w:rsid w:val="00635DEC"/>
    <w:rsid w:val="00636FEC"/>
    <w:rsid w:val="006376E7"/>
    <w:rsid w:val="006379B6"/>
    <w:rsid w:val="00637FB2"/>
    <w:rsid w:val="006423A8"/>
    <w:rsid w:val="00642994"/>
    <w:rsid w:val="00642AE2"/>
    <w:rsid w:val="006456A2"/>
    <w:rsid w:val="00645ADD"/>
    <w:rsid w:val="00645C07"/>
    <w:rsid w:val="00646339"/>
    <w:rsid w:val="00646EDB"/>
    <w:rsid w:val="00650DA0"/>
    <w:rsid w:val="006512C8"/>
    <w:rsid w:val="0065155D"/>
    <w:rsid w:val="006530DD"/>
    <w:rsid w:val="0065500A"/>
    <w:rsid w:val="00656D36"/>
    <w:rsid w:val="00656F7A"/>
    <w:rsid w:val="00660FDC"/>
    <w:rsid w:val="0066344F"/>
    <w:rsid w:val="00664DCA"/>
    <w:rsid w:val="006658DD"/>
    <w:rsid w:val="006706C3"/>
    <w:rsid w:val="00671161"/>
    <w:rsid w:val="0067184A"/>
    <w:rsid w:val="00671D04"/>
    <w:rsid w:val="00672CB4"/>
    <w:rsid w:val="006758D7"/>
    <w:rsid w:val="00675E84"/>
    <w:rsid w:val="00676DC6"/>
    <w:rsid w:val="0068013B"/>
    <w:rsid w:val="00681060"/>
    <w:rsid w:val="006819DB"/>
    <w:rsid w:val="00686172"/>
    <w:rsid w:val="00687E17"/>
    <w:rsid w:val="006912BF"/>
    <w:rsid w:val="006915CB"/>
    <w:rsid w:val="00691631"/>
    <w:rsid w:val="006926DE"/>
    <w:rsid w:val="00694A8A"/>
    <w:rsid w:val="006965DB"/>
    <w:rsid w:val="006A10EA"/>
    <w:rsid w:val="006A24B0"/>
    <w:rsid w:val="006A33AE"/>
    <w:rsid w:val="006A50F0"/>
    <w:rsid w:val="006A7F00"/>
    <w:rsid w:val="006B08D5"/>
    <w:rsid w:val="006B1890"/>
    <w:rsid w:val="006B1BAE"/>
    <w:rsid w:val="006B2701"/>
    <w:rsid w:val="006B43EC"/>
    <w:rsid w:val="006B4790"/>
    <w:rsid w:val="006B48CC"/>
    <w:rsid w:val="006B737C"/>
    <w:rsid w:val="006C1357"/>
    <w:rsid w:val="006C2036"/>
    <w:rsid w:val="006C3363"/>
    <w:rsid w:val="006C34C3"/>
    <w:rsid w:val="006C3FFC"/>
    <w:rsid w:val="006C6FA9"/>
    <w:rsid w:val="006C78D5"/>
    <w:rsid w:val="006C79E8"/>
    <w:rsid w:val="006D01A6"/>
    <w:rsid w:val="006D3315"/>
    <w:rsid w:val="006D5184"/>
    <w:rsid w:val="006D55B2"/>
    <w:rsid w:val="006D5EC9"/>
    <w:rsid w:val="006D63BB"/>
    <w:rsid w:val="006D650A"/>
    <w:rsid w:val="006E0C8F"/>
    <w:rsid w:val="006E3760"/>
    <w:rsid w:val="006F1198"/>
    <w:rsid w:val="006F210F"/>
    <w:rsid w:val="006F244F"/>
    <w:rsid w:val="006F263D"/>
    <w:rsid w:val="006F2BF7"/>
    <w:rsid w:val="006F3AC1"/>
    <w:rsid w:val="006F5745"/>
    <w:rsid w:val="006F7281"/>
    <w:rsid w:val="00704F29"/>
    <w:rsid w:val="00705324"/>
    <w:rsid w:val="00706E87"/>
    <w:rsid w:val="00710FFE"/>
    <w:rsid w:val="00713EEF"/>
    <w:rsid w:val="007171A6"/>
    <w:rsid w:val="0071734B"/>
    <w:rsid w:val="0071761C"/>
    <w:rsid w:val="00721451"/>
    <w:rsid w:val="00721C65"/>
    <w:rsid w:val="00721FA9"/>
    <w:rsid w:val="00722369"/>
    <w:rsid w:val="007227D0"/>
    <w:rsid w:val="00723F45"/>
    <w:rsid w:val="0072757F"/>
    <w:rsid w:val="0073081E"/>
    <w:rsid w:val="00733DB0"/>
    <w:rsid w:val="00734878"/>
    <w:rsid w:val="00734BFD"/>
    <w:rsid w:val="00735866"/>
    <w:rsid w:val="00735F03"/>
    <w:rsid w:val="007364E5"/>
    <w:rsid w:val="007416C3"/>
    <w:rsid w:val="007446E6"/>
    <w:rsid w:val="0074774F"/>
    <w:rsid w:val="00747D8B"/>
    <w:rsid w:val="00747ECF"/>
    <w:rsid w:val="0075147F"/>
    <w:rsid w:val="007531EE"/>
    <w:rsid w:val="00753FAA"/>
    <w:rsid w:val="00754573"/>
    <w:rsid w:val="00755780"/>
    <w:rsid w:val="007561B9"/>
    <w:rsid w:val="0076476D"/>
    <w:rsid w:val="00765C62"/>
    <w:rsid w:val="00765D86"/>
    <w:rsid w:val="00767375"/>
    <w:rsid w:val="007678CD"/>
    <w:rsid w:val="007705BF"/>
    <w:rsid w:val="0077171A"/>
    <w:rsid w:val="00771E52"/>
    <w:rsid w:val="00772614"/>
    <w:rsid w:val="0077352D"/>
    <w:rsid w:val="00774D19"/>
    <w:rsid w:val="0077564E"/>
    <w:rsid w:val="00775C6C"/>
    <w:rsid w:val="007760DC"/>
    <w:rsid w:val="00777CEB"/>
    <w:rsid w:val="00780C88"/>
    <w:rsid w:val="00780E01"/>
    <w:rsid w:val="00782BF5"/>
    <w:rsid w:val="0078451B"/>
    <w:rsid w:val="00791700"/>
    <w:rsid w:val="00791EC7"/>
    <w:rsid w:val="0079348A"/>
    <w:rsid w:val="00794D7F"/>
    <w:rsid w:val="00795ADF"/>
    <w:rsid w:val="00796851"/>
    <w:rsid w:val="007968B8"/>
    <w:rsid w:val="00797273"/>
    <w:rsid w:val="00797E76"/>
    <w:rsid w:val="007A2AED"/>
    <w:rsid w:val="007A2FCD"/>
    <w:rsid w:val="007A3C1F"/>
    <w:rsid w:val="007A4A9B"/>
    <w:rsid w:val="007A5350"/>
    <w:rsid w:val="007A5DE6"/>
    <w:rsid w:val="007A65F3"/>
    <w:rsid w:val="007A7540"/>
    <w:rsid w:val="007B1B82"/>
    <w:rsid w:val="007B2A3F"/>
    <w:rsid w:val="007B31A1"/>
    <w:rsid w:val="007B68E2"/>
    <w:rsid w:val="007B69ED"/>
    <w:rsid w:val="007C0FE3"/>
    <w:rsid w:val="007C2998"/>
    <w:rsid w:val="007C48B3"/>
    <w:rsid w:val="007D1D96"/>
    <w:rsid w:val="007D2313"/>
    <w:rsid w:val="007D312C"/>
    <w:rsid w:val="007D3E45"/>
    <w:rsid w:val="007D4153"/>
    <w:rsid w:val="007D461C"/>
    <w:rsid w:val="007D5E3D"/>
    <w:rsid w:val="007D69F3"/>
    <w:rsid w:val="007D69FD"/>
    <w:rsid w:val="007D6EBE"/>
    <w:rsid w:val="007D77AD"/>
    <w:rsid w:val="007E06C5"/>
    <w:rsid w:val="007E128C"/>
    <w:rsid w:val="007E19F1"/>
    <w:rsid w:val="007E2A24"/>
    <w:rsid w:val="007E4746"/>
    <w:rsid w:val="007E4C19"/>
    <w:rsid w:val="007E70A6"/>
    <w:rsid w:val="007E7CBD"/>
    <w:rsid w:val="007F0723"/>
    <w:rsid w:val="007F13CF"/>
    <w:rsid w:val="007F211F"/>
    <w:rsid w:val="007F2871"/>
    <w:rsid w:val="007F49B5"/>
    <w:rsid w:val="007F58E5"/>
    <w:rsid w:val="008009E5"/>
    <w:rsid w:val="00800F70"/>
    <w:rsid w:val="0080384A"/>
    <w:rsid w:val="00803B57"/>
    <w:rsid w:val="00805394"/>
    <w:rsid w:val="00805DA0"/>
    <w:rsid w:val="00806A9C"/>
    <w:rsid w:val="00807291"/>
    <w:rsid w:val="0080762A"/>
    <w:rsid w:val="008108E5"/>
    <w:rsid w:val="00810DE4"/>
    <w:rsid w:val="008111AD"/>
    <w:rsid w:val="008136FB"/>
    <w:rsid w:val="00820451"/>
    <w:rsid w:val="00822078"/>
    <w:rsid w:val="0082376B"/>
    <w:rsid w:val="00830100"/>
    <w:rsid w:val="00830CE9"/>
    <w:rsid w:val="008322F7"/>
    <w:rsid w:val="0083252F"/>
    <w:rsid w:val="00835B92"/>
    <w:rsid w:val="00837DA3"/>
    <w:rsid w:val="00840FE4"/>
    <w:rsid w:val="0084187C"/>
    <w:rsid w:val="0084253B"/>
    <w:rsid w:val="0084423A"/>
    <w:rsid w:val="00844B8F"/>
    <w:rsid w:val="008450EC"/>
    <w:rsid w:val="00850313"/>
    <w:rsid w:val="00850C7F"/>
    <w:rsid w:val="008510F5"/>
    <w:rsid w:val="0085698B"/>
    <w:rsid w:val="0085780F"/>
    <w:rsid w:val="008578B1"/>
    <w:rsid w:val="00861D71"/>
    <w:rsid w:val="00861FA5"/>
    <w:rsid w:val="008622D6"/>
    <w:rsid w:val="008637A1"/>
    <w:rsid w:val="00863900"/>
    <w:rsid w:val="00863E50"/>
    <w:rsid w:val="00864421"/>
    <w:rsid w:val="00865F63"/>
    <w:rsid w:val="00867740"/>
    <w:rsid w:val="00870D60"/>
    <w:rsid w:val="00870F5A"/>
    <w:rsid w:val="00871883"/>
    <w:rsid w:val="0087432D"/>
    <w:rsid w:val="00874980"/>
    <w:rsid w:val="00875D6C"/>
    <w:rsid w:val="00880CE9"/>
    <w:rsid w:val="00881658"/>
    <w:rsid w:val="00882053"/>
    <w:rsid w:val="00883C38"/>
    <w:rsid w:val="008844B6"/>
    <w:rsid w:val="00885349"/>
    <w:rsid w:val="0088664F"/>
    <w:rsid w:val="00887EDB"/>
    <w:rsid w:val="00891F27"/>
    <w:rsid w:val="0089338C"/>
    <w:rsid w:val="008940C8"/>
    <w:rsid w:val="008963F9"/>
    <w:rsid w:val="00896796"/>
    <w:rsid w:val="008A2325"/>
    <w:rsid w:val="008A4554"/>
    <w:rsid w:val="008A4907"/>
    <w:rsid w:val="008A4AC9"/>
    <w:rsid w:val="008A4B99"/>
    <w:rsid w:val="008A63ED"/>
    <w:rsid w:val="008A7BAA"/>
    <w:rsid w:val="008A7FC5"/>
    <w:rsid w:val="008B050C"/>
    <w:rsid w:val="008B1CF9"/>
    <w:rsid w:val="008B2A57"/>
    <w:rsid w:val="008B2E1E"/>
    <w:rsid w:val="008B33F7"/>
    <w:rsid w:val="008B3F80"/>
    <w:rsid w:val="008B71DC"/>
    <w:rsid w:val="008B7D50"/>
    <w:rsid w:val="008B7E20"/>
    <w:rsid w:val="008C0C4D"/>
    <w:rsid w:val="008C187A"/>
    <w:rsid w:val="008C21B6"/>
    <w:rsid w:val="008C57D0"/>
    <w:rsid w:val="008C71DA"/>
    <w:rsid w:val="008C7209"/>
    <w:rsid w:val="008D18AC"/>
    <w:rsid w:val="008D2720"/>
    <w:rsid w:val="008D2B92"/>
    <w:rsid w:val="008D2F15"/>
    <w:rsid w:val="008D38D8"/>
    <w:rsid w:val="008D4B2B"/>
    <w:rsid w:val="008D537F"/>
    <w:rsid w:val="008D6449"/>
    <w:rsid w:val="008D6CF2"/>
    <w:rsid w:val="008D71EE"/>
    <w:rsid w:val="008E0930"/>
    <w:rsid w:val="008E0C41"/>
    <w:rsid w:val="008E1C77"/>
    <w:rsid w:val="008E2AEE"/>
    <w:rsid w:val="008E5B4F"/>
    <w:rsid w:val="008E5C89"/>
    <w:rsid w:val="008E6C90"/>
    <w:rsid w:val="008E769D"/>
    <w:rsid w:val="008F48E1"/>
    <w:rsid w:val="008F4AB8"/>
    <w:rsid w:val="008F59EE"/>
    <w:rsid w:val="008F6935"/>
    <w:rsid w:val="008F754D"/>
    <w:rsid w:val="008F7A1B"/>
    <w:rsid w:val="008F7E94"/>
    <w:rsid w:val="00900F1E"/>
    <w:rsid w:val="00902A25"/>
    <w:rsid w:val="00902EC5"/>
    <w:rsid w:val="00903596"/>
    <w:rsid w:val="0090394D"/>
    <w:rsid w:val="00903D05"/>
    <w:rsid w:val="00903F08"/>
    <w:rsid w:val="009040B5"/>
    <w:rsid w:val="00906004"/>
    <w:rsid w:val="0091130E"/>
    <w:rsid w:val="00912301"/>
    <w:rsid w:val="009135B0"/>
    <w:rsid w:val="00913C36"/>
    <w:rsid w:val="009149FB"/>
    <w:rsid w:val="00915680"/>
    <w:rsid w:val="00916321"/>
    <w:rsid w:val="009179B2"/>
    <w:rsid w:val="00920DB4"/>
    <w:rsid w:val="00920EA7"/>
    <w:rsid w:val="0092115A"/>
    <w:rsid w:val="009214FD"/>
    <w:rsid w:val="00923097"/>
    <w:rsid w:val="00923725"/>
    <w:rsid w:val="009241F4"/>
    <w:rsid w:val="00925A17"/>
    <w:rsid w:val="00925A56"/>
    <w:rsid w:val="009278B4"/>
    <w:rsid w:val="00930CC4"/>
    <w:rsid w:val="0093211B"/>
    <w:rsid w:val="0093283E"/>
    <w:rsid w:val="009331E4"/>
    <w:rsid w:val="00933BFC"/>
    <w:rsid w:val="00933F3C"/>
    <w:rsid w:val="00934B3A"/>
    <w:rsid w:val="00935118"/>
    <w:rsid w:val="00935646"/>
    <w:rsid w:val="00936144"/>
    <w:rsid w:val="0095025B"/>
    <w:rsid w:val="009531F0"/>
    <w:rsid w:val="009539F7"/>
    <w:rsid w:val="00953C33"/>
    <w:rsid w:val="00955166"/>
    <w:rsid w:val="009557C7"/>
    <w:rsid w:val="009577AC"/>
    <w:rsid w:val="009603E6"/>
    <w:rsid w:val="009609D9"/>
    <w:rsid w:val="0096135A"/>
    <w:rsid w:val="00961EC2"/>
    <w:rsid w:val="00961FFE"/>
    <w:rsid w:val="009628C5"/>
    <w:rsid w:val="009629FB"/>
    <w:rsid w:val="009658D8"/>
    <w:rsid w:val="00965C63"/>
    <w:rsid w:val="00965D81"/>
    <w:rsid w:val="00965F1C"/>
    <w:rsid w:val="009668EE"/>
    <w:rsid w:val="00967F56"/>
    <w:rsid w:val="0097117A"/>
    <w:rsid w:val="009717A8"/>
    <w:rsid w:val="00973DD9"/>
    <w:rsid w:val="009756F5"/>
    <w:rsid w:val="009763F2"/>
    <w:rsid w:val="00976AFD"/>
    <w:rsid w:val="00980E34"/>
    <w:rsid w:val="00980E77"/>
    <w:rsid w:val="009812BA"/>
    <w:rsid w:val="0098571C"/>
    <w:rsid w:val="00987B58"/>
    <w:rsid w:val="00990BCF"/>
    <w:rsid w:val="009912CC"/>
    <w:rsid w:val="00991738"/>
    <w:rsid w:val="0099519A"/>
    <w:rsid w:val="00995261"/>
    <w:rsid w:val="009976B5"/>
    <w:rsid w:val="009A10B9"/>
    <w:rsid w:val="009A14B1"/>
    <w:rsid w:val="009A25EF"/>
    <w:rsid w:val="009A6A13"/>
    <w:rsid w:val="009A7CC5"/>
    <w:rsid w:val="009B0127"/>
    <w:rsid w:val="009B091D"/>
    <w:rsid w:val="009B0A8F"/>
    <w:rsid w:val="009B0DA5"/>
    <w:rsid w:val="009B22D9"/>
    <w:rsid w:val="009B4D6A"/>
    <w:rsid w:val="009B502D"/>
    <w:rsid w:val="009B5135"/>
    <w:rsid w:val="009B5712"/>
    <w:rsid w:val="009B65CE"/>
    <w:rsid w:val="009B6B1F"/>
    <w:rsid w:val="009B6B5C"/>
    <w:rsid w:val="009C03D8"/>
    <w:rsid w:val="009C0F3F"/>
    <w:rsid w:val="009C2B8B"/>
    <w:rsid w:val="009C3C4F"/>
    <w:rsid w:val="009C4454"/>
    <w:rsid w:val="009C5C04"/>
    <w:rsid w:val="009C5E7A"/>
    <w:rsid w:val="009D0F28"/>
    <w:rsid w:val="009D3A43"/>
    <w:rsid w:val="009D3E3B"/>
    <w:rsid w:val="009D657D"/>
    <w:rsid w:val="009D79BD"/>
    <w:rsid w:val="009E0BCB"/>
    <w:rsid w:val="009E1994"/>
    <w:rsid w:val="009E24EE"/>
    <w:rsid w:val="009E5C14"/>
    <w:rsid w:val="009E5C1F"/>
    <w:rsid w:val="009E687A"/>
    <w:rsid w:val="009E6A34"/>
    <w:rsid w:val="009E7CD4"/>
    <w:rsid w:val="009F6151"/>
    <w:rsid w:val="009F6F61"/>
    <w:rsid w:val="00A003EF"/>
    <w:rsid w:val="00A00BFC"/>
    <w:rsid w:val="00A01F65"/>
    <w:rsid w:val="00A02EA5"/>
    <w:rsid w:val="00A02F81"/>
    <w:rsid w:val="00A050CD"/>
    <w:rsid w:val="00A06959"/>
    <w:rsid w:val="00A0729B"/>
    <w:rsid w:val="00A07BF7"/>
    <w:rsid w:val="00A07DCA"/>
    <w:rsid w:val="00A10F1B"/>
    <w:rsid w:val="00A12C32"/>
    <w:rsid w:val="00A1409F"/>
    <w:rsid w:val="00A141FE"/>
    <w:rsid w:val="00A15C00"/>
    <w:rsid w:val="00A1774D"/>
    <w:rsid w:val="00A23E0F"/>
    <w:rsid w:val="00A24351"/>
    <w:rsid w:val="00A259CF"/>
    <w:rsid w:val="00A26E26"/>
    <w:rsid w:val="00A26E2C"/>
    <w:rsid w:val="00A30586"/>
    <w:rsid w:val="00A351CC"/>
    <w:rsid w:val="00A36B4C"/>
    <w:rsid w:val="00A43A5B"/>
    <w:rsid w:val="00A4463C"/>
    <w:rsid w:val="00A44AA0"/>
    <w:rsid w:val="00A44D72"/>
    <w:rsid w:val="00A45A95"/>
    <w:rsid w:val="00A479EB"/>
    <w:rsid w:val="00A52266"/>
    <w:rsid w:val="00A52545"/>
    <w:rsid w:val="00A572EB"/>
    <w:rsid w:val="00A605B9"/>
    <w:rsid w:val="00A61041"/>
    <w:rsid w:val="00A62650"/>
    <w:rsid w:val="00A62E1C"/>
    <w:rsid w:val="00A634A5"/>
    <w:rsid w:val="00A63EE8"/>
    <w:rsid w:val="00A665CF"/>
    <w:rsid w:val="00A75A50"/>
    <w:rsid w:val="00A77545"/>
    <w:rsid w:val="00A80149"/>
    <w:rsid w:val="00A8344B"/>
    <w:rsid w:val="00A83A2A"/>
    <w:rsid w:val="00A8448A"/>
    <w:rsid w:val="00A857F2"/>
    <w:rsid w:val="00A87168"/>
    <w:rsid w:val="00A901D2"/>
    <w:rsid w:val="00A90D5A"/>
    <w:rsid w:val="00A92D34"/>
    <w:rsid w:val="00A935AE"/>
    <w:rsid w:val="00AA05C9"/>
    <w:rsid w:val="00AA09BF"/>
    <w:rsid w:val="00AA2C0C"/>
    <w:rsid w:val="00AA3D40"/>
    <w:rsid w:val="00AA3DFC"/>
    <w:rsid w:val="00AA4900"/>
    <w:rsid w:val="00AA5675"/>
    <w:rsid w:val="00AA587D"/>
    <w:rsid w:val="00AA5EA2"/>
    <w:rsid w:val="00AA6D51"/>
    <w:rsid w:val="00AA7758"/>
    <w:rsid w:val="00AB0272"/>
    <w:rsid w:val="00AB4091"/>
    <w:rsid w:val="00AB69EF"/>
    <w:rsid w:val="00AB7C99"/>
    <w:rsid w:val="00AC0C59"/>
    <w:rsid w:val="00AC1295"/>
    <w:rsid w:val="00AC1433"/>
    <w:rsid w:val="00AC1BC6"/>
    <w:rsid w:val="00AC2442"/>
    <w:rsid w:val="00AC2673"/>
    <w:rsid w:val="00AC3810"/>
    <w:rsid w:val="00AC45C2"/>
    <w:rsid w:val="00AC4A2F"/>
    <w:rsid w:val="00AC63AA"/>
    <w:rsid w:val="00AC7C13"/>
    <w:rsid w:val="00AD0192"/>
    <w:rsid w:val="00AD393C"/>
    <w:rsid w:val="00AD3949"/>
    <w:rsid w:val="00AD741A"/>
    <w:rsid w:val="00AD76AF"/>
    <w:rsid w:val="00AE0FC5"/>
    <w:rsid w:val="00AE12DB"/>
    <w:rsid w:val="00AE1A8A"/>
    <w:rsid w:val="00AE7448"/>
    <w:rsid w:val="00AE76DA"/>
    <w:rsid w:val="00AF0688"/>
    <w:rsid w:val="00AF366E"/>
    <w:rsid w:val="00AF493F"/>
    <w:rsid w:val="00AF4A95"/>
    <w:rsid w:val="00AF555A"/>
    <w:rsid w:val="00AF5F10"/>
    <w:rsid w:val="00B0031A"/>
    <w:rsid w:val="00B024DE"/>
    <w:rsid w:val="00B038A3"/>
    <w:rsid w:val="00B039C7"/>
    <w:rsid w:val="00B03AD2"/>
    <w:rsid w:val="00B0416A"/>
    <w:rsid w:val="00B048A2"/>
    <w:rsid w:val="00B051E8"/>
    <w:rsid w:val="00B05610"/>
    <w:rsid w:val="00B0610D"/>
    <w:rsid w:val="00B0742C"/>
    <w:rsid w:val="00B079A2"/>
    <w:rsid w:val="00B10353"/>
    <w:rsid w:val="00B10612"/>
    <w:rsid w:val="00B12EF6"/>
    <w:rsid w:val="00B14147"/>
    <w:rsid w:val="00B144D3"/>
    <w:rsid w:val="00B14966"/>
    <w:rsid w:val="00B14F96"/>
    <w:rsid w:val="00B16243"/>
    <w:rsid w:val="00B17BF2"/>
    <w:rsid w:val="00B17DF9"/>
    <w:rsid w:val="00B216D3"/>
    <w:rsid w:val="00B21950"/>
    <w:rsid w:val="00B23EE4"/>
    <w:rsid w:val="00B25524"/>
    <w:rsid w:val="00B25DDE"/>
    <w:rsid w:val="00B26F1E"/>
    <w:rsid w:val="00B27310"/>
    <w:rsid w:val="00B32395"/>
    <w:rsid w:val="00B34398"/>
    <w:rsid w:val="00B34889"/>
    <w:rsid w:val="00B35857"/>
    <w:rsid w:val="00B3588D"/>
    <w:rsid w:val="00B364B7"/>
    <w:rsid w:val="00B406B0"/>
    <w:rsid w:val="00B412B4"/>
    <w:rsid w:val="00B44399"/>
    <w:rsid w:val="00B45279"/>
    <w:rsid w:val="00B47155"/>
    <w:rsid w:val="00B505EE"/>
    <w:rsid w:val="00B53983"/>
    <w:rsid w:val="00B5412B"/>
    <w:rsid w:val="00B54BA3"/>
    <w:rsid w:val="00B55493"/>
    <w:rsid w:val="00B564A2"/>
    <w:rsid w:val="00B618EE"/>
    <w:rsid w:val="00B62258"/>
    <w:rsid w:val="00B62C52"/>
    <w:rsid w:val="00B66604"/>
    <w:rsid w:val="00B700C5"/>
    <w:rsid w:val="00B709B3"/>
    <w:rsid w:val="00B7177B"/>
    <w:rsid w:val="00B72277"/>
    <w:rsid w:val="00B7328E"/>
    <w:rsid w:val="00B749DB"/>
    <w:rsid w:val="00B74A8F"/>
    <w:rsid w:val="00B75BC5"/>
    <w:rsid w:val="00B76092"/>
    <w:rsid w:val="00B82256"/>
    <w:rsid w:val="00B830DD"/>
    <w:rsid w:val="00B83AD8"/>
    <w:rsid w:val="00B83C67"/>
    <w:rsid w:val="00B84937"/>
    <w:rsid w:val="00B87CA6"/>
    <w:rsid w:val="00B912D6"/>
    <w:rsid w:val="00B92B03"/>
    <w:rsid w:val="00B949D1"/>
    <w:rsid w:val="00B952A4"/>
    <w:rsid w:val="00B96396"/>
    <w:rsid w:val="00B9688F"/>
    <w:rsid w:val="00B97ECC"/>
    <w:rsid w:val="00BA06F5"/>
    <w:rsid w:val="00BA2F6E"/>
    <w:rsid w:val="00BA3D53"/>
    <w:rsid w:val="00BA48FE"/>
    <w:rsid w:val="00BA4F42"/>
    <w:rsid w:val="00BA7089"/>
    <w:rsid w:val="00BA7821"/>
    <w:rsid w:val="00BB14FB"/>
    <w:rsid w:val="00BB172C"/>
    <w:rsid w:val="00BB2085"/>
    <w:rsid w:val="00BB27D0"/>
    <w:rsid w:val="00BB4EE8"/>
    <w:rsid w:val="00BB548C"/>
    <w:rsid w:val="00BC1464"/>
    <w:rsid w:val="00BC1663"/>
    <w:rsid w:val="00BC4972"/>
    <w:rsid w:val="00BC4DA7"/>
    <w:rsid w:val="00BC51F9"/>
    <w:rsid w:val="00BD06EA"/>
    <w:rsid w:val="00BD104B"/>
    <w:rsid w:val="00BD1506"/>
    <w:rsid w:val="00BD2309"/>
    <w:rsid w:val="00BD30A3"/>
    <w:rsid w:val="00BD30B2"/>
    <w:rsid w:val="00BD3D01"/>
    <w:rsid w:val="00BD3DD1"/>
    <w:rsid w:val="00BE04D4"/>
    <w:rsid w:val="00BE1A56"/>
    <w:rsid w:val="00BE1EC9"/>
    <w:rsid w:val="00BE1EDC"/>
    <w:rsid w:val="00BE1FCE"/>
    <w:rsid w:val="00BE22C8"/>
    <w:rsid w:val="00BE2550"/>
    <w:rsid w:val="00BE2CA9"/>
    <w:rsid w:val="00BE3B60"/>
    <w:rsid w:val="00BE4E96"/>
    <w:rsid w:val="00BE54BC"/>
    <w:rsid w:val="00BE5F55"/>
    <w:rsid w:val="00BE64E1"/>
    <w:rsid w:val="00BE710B"/>
    <w:rsid w:val="00BE772F"/>
    <w:rsid w:val="00BE77E0"/>
    <w:rsid w:val="00BE79BC"/>
    <w:rsid w:val="00BE7B3F"/>
    <w:rsid w:val="00BE7BF5"/>
    <w:rsid w:val="00BF2AD9"/>
    <w:rsid w:val="00BF50C7"/>
    <w:rsid w:val="00BF752A"/>
    <w:rsid w:val="00BF7693"/>
    <w:rsid w:val="00BF7E8A"/>
    <w:rsid w:val="00C06B7E"/>
    <w:rsid w:val="00C06B96"/>
    <w:rsid w:val="00C07316"/>
    <w:rsid w:val="00C0742D"/>
    <w:rsid w:val="00C074A1"/>
    <w:rsid w:val="00C078C5"/>
    <w:rsid w:val="00C11537"/>
    <w:rsid w:val="00C11916"/>
    <w:rsid w:val="00C125A1"/>
    <w:rsid w:val="00C1535C"/>
    <w:rsid w:val="00C162A5"/>
    <w:rsid w:val="00C174CF"/>
    <w:rsid w:val="00C22AA2"/>
    <w:rsid w:val="00C23F51"/>
    <w:rsid w:val="00C253D6"/>
    <w:rsid w:val="00C26A57"/>
    <w:rsid w:val="00C26F1B"/>
    <w:rsid w:val="00C27CAD"/>
    <w:rsid w:val="00C27D4D"/>
    <w:rsid w:val="00C36A87"/>
    <w:rsid w:val="00C36DAC"/>
    <w:rsid w:val="00C36F7B"/>
    <w:rsid w:val="00C37E62"/>
    <w:rsid w:val="00C40C43"/>
    <w:rsid w:val="00C414A4"/>
    <w:rsid w:val="00C42EE5"/>
    <w:rsid w:val="00C436CF"/>
    <w:rsid w:val="00C455C5"/>
    <w:rsid w:val="00C45A30"/>
    <w:rsid w:val="00C4640C"/>
    <w:rsid w:val="00C4668F"/>
    <w:rsid w:val="00C46C46"/>
    <w:rsid w:val="00C47CF0"/>
    <w:rsid w:val="00C5002D"/>
    <w:rsid w:val="00C5184F"/>
    <w:rsid w:val="00C53B0A"/>
    <w:rsid w:val="00C54DD8"/>
    <w:rsid w:val="00C55B6F"/>
    <w:rsid w:val="00C642C5"/>
    <w:rsid w:val="00C6500B"/>
    <w:rsid w:val="00C658B7"/>
    <w:rsid w:val="00C753DB"/>
    <w:rsid w:val="00C77FC4"/>
    <w:rsid w:val="00C80540"/>
    <w:rsid w:val="00C828B8"/>
    <w:rsid w:val="00C83282"/>
    <w:rsid w:val="00C8332D"/>
    <w:rsid w:val="00C8604E"/>
    <w:rsid w:val="00C867CD"/>
    <w:rsid w:val="00C86972"/>
    <w:rsid w:val="00C91F99"/>
    <w:rsid w:val="00C92C27"/>
    <w:rsid w:val="00C94097"/>
    <w:rsid w:val="00C95378"/>
    <w:rsid w:val="00C97D5D"/>
    <w:rsid w:val="00CA0189"/>
    <w:rsid w:val="00CA0E3A"/>
    <w:rsid w:val="00CA1C24"/>
    <w:rsid w:val="00CA200A"/>
    <w:rsid w:val="00CA288E"/>
    <w:rsid w:val="00CA2C82"/>
    <w:rsid w:val="00CA2D86"/>
    <w:rsid w:val="00CA5232"/>
    <w:rsid w:val="00CA5394"/>
    <w:rsid w:val="00CA64F3"/>
    <w:rsid w:val="00CA6E8D"/>
    <w:rsid w:val="00CA72EC"/>
    <w:rsid w:val="00CB6E82"/>
    <w:rsid w:val="00CC19B2"/>
    <w:rsid w:val="00CC1B0D"/>
    <w:rsid w:val="00CC5A12"/>
    <w:rsid w:val="00CC7869"/>
    <w:rsid w:val="00CD50A0"/>
    <w:rsid w:val="00CD6290"/>
    <w:rsid w:val="00CD700A"/>
    <w:rsid w:val="00CD71F0"/>
    <w:rsid w:val="00CD7588"/>
    <w:rsid w:val="00CD7AF4"/>
    <w:rsid w:val="00CE1E0B"/>
    <w:rsid w:val="00CE4499"/>
    <w:rsid w:val="00CE4D93"/>
    <w:rsid w:val="00CE541C"/>
    <w:rsid w:val="00CE6BB0"/>
    <w:rsid w:val="00CE7959"/>
    <w:rsid w:val="00CF1EFC"/>
    <w:rsid w:val="00CF253B"/>
    <w:rsid w:val="00CF630E"/>
    <w:rsid w:val="00CF7452"/>
    <w:rsid w:val="00CF7A0B"/>
    <w:rsid w:val="00D01D18"/>
    <w:rsid w:val="00D041A9"/>
    <w:rsid w:val="00D129B3"/>
    <w:rsid w:val="00D1419C"/>
    <w:rsid w:val="00D1529C"/>
    <w:rsid w:val="00D1646B"/>
    <w:rsid w:val="00D175DB"/>
    <w:rsid w:val="00D1781E"/>
    <w:rsid w:val="00D17A61"/>
    <w:rsid w:val="00D20075"/>
    <w:rsid w:val="00D21230"/>
    <w:rsid w:val="00D258A2"/>
    <w:rsid w:val="00D30821"/>
    <w:rsid w:val="00D30D0A"/>
    <w:rsid w:val="00D33461"/>
    <w:rsid w:val="00D34582"/>
    <w:rsid w:val="00D35933"/>
    <w:rsid w:val="00D35C93"/>
    <w:rsid w:val="00D36007"/>
    <w:rsid w:val="00D374B4"/>
    <w:rsid w:val="00D415A2"/>
    <w:rsid w:val="00D41FC4"/>
    <w:rsid w:val="00D42AED"/>
    <w:rsid w:val="00D443E3"/>
    <w:rsid w:val="00D453BD"/>
    <w:rsid w:val="00D454C7"/>
    <w:rsid w:val="00D4571E"/>
    <w:rsid w:val="00D467B6"/>
    <w:rsid w:val="00D51721"/>
    <w:rsid w:val="00D52ACB"/>
    <w:rsid w:val="00D52CFD"/>
    <w:rsid w:val="00D546FD"/>
    <w:rsid w:val="00D550CA"/>
    <w:rsid w:val="00D57CDC"/>
    <w:rsid w:val="00D61C3C"/>
    <w:rsid w:val="00D6423C"/>
    <w:rsid w:val="00D700ED"/>
    <w:rsid w:val="00D71239"/>
    <w:rsid w:val="00D730F0"/>
    <w:rsid w:val="00D733D9"/>
    <w:rsid w:val="00D740FA"/>
    <w:rsid w:val="00D74E3E"/>
    <w:rsid w:val="00D75DE3"/>
    <w:rsid w:val="00D763C7"/>
    <w:rsid w:val="00D76F77"/>
    <w:rsid w:val="00D7710C"/>
    <w:rsid w:val="00D808A8"/>
    <w:rsid w:val="00D80AAD"/>
    <w:rsid w:val="00D82562"/>
    <w:rsid w:val="00D82BE6"/>
    <w:rsid w:val="00D84A0F"/>
    <w:rsid w:val="00D85821"/>
    <w:rsid w:val="00D87119"/>
    <w:rsid w:val="00D91455"/>
    <w:rsid w:val="00D91634"/>
    <w:rsid w:val="00D925CE"/>
    <w:rsid w:val="00D92CEC"/>
    <w:rsid w:val="00D93CFC"/>
    <w:rsid w:val="00D94A1F"/>
    <w:rsid w:val="00D94F53"/>
    <w:rsid w:val="00D96143"/>
    <w:rsid w:val="00D968C8"/>
    <w:rsid w:val="00D97653"/>
    <w:rsid w:val="00DA026B"/>
    <w:rsid w:val="00DA10B5"/>
    <w:rsid w:val="00DA19FD"/>
    <w:rsid w:val="00DA7B91"/>
    <w:rsid w:val="00DB01C5"/>
    <w:rsid w:val="00DB035C"/>
    <w:rsid w:val="00DB0F9A"/>
    <w:rsid w:val="00DB473C"/>
    <w:rsid w:val="00DB4C7B"/>
    <w:rsid w:val="00DB5ACA"/>
    <w:rsid w:val="00DB6293"/>
    <w:rsid w:val="00DB6DE4"/>
    <w:rsid w:val="00DB7489"/>
    <w:rsid w:val="00DC3268"/>
    <w:rsid w:val="00DC35E1"/>
    <w:rsid w:val="00DC473B"/>
    <w:rsid w:val="00DC5194"/>
    <w:rsid w:val="00DC5602"/>
    <w:rsid w:val="00DC6B74"/>
    <w:rsid w:val="00DC6E09"/>
    <w:rsid w:val="00DD0360"/>
    <w:rsid w:val="00DD4298"/>
    <w:rsid w:val="00DD58E3"/>
    <w:rsid w:val="00DD6EFB"/>
    <w:rsid w:val="00DD78B8"/>
    <w:rsid w:val="00DE0828"/>
    <w:rsid w:val="00DE0ACE"/>
    <w:rsid w:val="00DE4CF8"/>
    <w:rsid w:val="00DE56A0"/>
    <w:rsid w:val="00DE63A4"/>
    <w:rsid w:val="00DE6B7A"/>
    <w:rsid w:val="00DE7229"/>
    <w:rsid w:val="00DE7655"/>
    <w:rsid w:val="00DF1269"/>
    <w:rsid w:val="00DF1C9C"/>
    <w:rsid w:val="00DF41B2"/>
    <w:rsid w:val="00DF4405"/>
    <w:rsid w:val="00DF6E7A"/>
    <w:rsid w:val="00DF7307"/>
    <w:rsid w:val="00DF748D"/>
    <w:rsid w:val="00E00B9A"/>
    <w:rsid w:val="00E00BBE"/>
    <w:rsid w:val="00E01435"/>
    <w:rsid w:val="00E02616"/>
    <w:rsid w:val="00E0443E"/>
    <w:rsid w:val="00E04881"/>
    <w:rsid w:val="00E05A6D"/>
    <w:rsid w:val="00E119B1"/>
    <w:rsid w:val="00E120C7"/>
    <w:rsid w:val="00E13482"/>
    <w:rsid w:val="00E137F8"/>
    <w:rsid w:val="00E140AD"/>
    <w:rsid w:val="00E14F67"/>
    <w:rsid w:val="00E158A3"/>
    <w:rsid w:val="00E16449"/>
    <w:rsid w:val="00E174D7"/>
    <w:rsid w:val="00E20A26"/>
    <w:rsid w:val="00E2237E"/>
    <w:rsid w:val="00E234C9"/>
    <w:rsid w:val="00E23D48"/>
    <w:rsid w:val="00E25FE0"/>
    <w:rsid w:val="00E260DE"/>
    <w:rsid w:val="00E27BE8"/>
    <w:rsid w:val="00E27D54"/>
    <w:rsid w:val="00E34A4F"/>
    <w:rsid w:val="00E355F2"/>
    <w:rsid w:val="00E35AFA"/>
    <w:rsid w:val="00E36F10"/>
    <w:rsid w:val="00E4052C"/>
    <w:rsid w:val="00E42811"/>
    <w:rsid w:val="00E42DF9"/>
    <w:rsid w:val="00E44BFA"/>
    <w:rsid w:val="00E44F19"/>
    <w:rsid w:val="00E451A5"/>
    <w:rsid w:val="00E45AE9"/>
    <w:rsid w:val="00E52734"/>
    <w:rsid w:val="00E54CE1"/>
    <w:rsid w:val="00E54DF6"/>
    <w:rsid w:val="00E5618B"/>
    <w:rsid w:val="00E61FD0"/>
    <w:rsid w:val="00E6441E"/>
    <w:rsid w:val="00E6502E"/>
    <w:rsid w:val="00E6605B"/>
    <w:rsid w:val="00E66CA3"/>
    <w:rsid w:val="00E67BB4"/>
    <w:rsid w:val="00E70B1C"/>
    <w:rsid w:val="00E756BC"/>
    <w:rsid w:val="00E761AD"/>
    <w:rsid w:val="00E761BD"/>
    <w:rsid w:val="00E8051E"/>
    <w:rsid w:val="00E80710"/>
    <w:rsid w:val="00E8299E"/>
    <w:rsid w:val="00E847D1"/>
    <w:rsid w:val="00E8628D"/>
    <w:rsid w:val="00E86400"/>
    <w:rsid w:val="00E87421"/>
    <w:rsid w:val="00E87F2C"/>
    <w:rsid w:val="00E90166"/>
    <w:rsid w:val="00E9490F"/>
    <w:rsid w:val="00E96A96"/>
    <w:rsid w:val="00E96DAA"/>
    <w:rsid w:val="00E96E3C"/>
    <w:rsid w:val="00E97523"/>
    <w:rsid w:val="00EA2D0C"/>
    <w:rsid w:val="00EA3135"/>
    <w:rsid w:val="00EA461F"/>
    <w:rsid w:val="00EA5527"/>
    <w:rsid w:val="00EA65FE"/>
    <w:rsid w:val="00EB036B"/>
    <w:rsid w:val="00EB0A1B"/>
    <w:rsid w:val="00EB1C58"/>
    <w:rsid w:val="00EB1CD6"/>
    <w:rsid w:val="00EB2C1A"/>
    <w:rsid w:val="00EB58CC"/>
    <w:rsid w:val="00EC35C8"/>
    <w:rsid w:val="00EC396E"/>
    <w:rsid w:val="00EC4FFE"/>
    <w:rsid w:val="00EC59A5"/>
    <w:rsid w:val="00EC7178"/>
    <w:rsid w:val="00ED06E3"/>
    <w:rsid w:val="00ED0E08"/>
    <w:rsid w:val="00ED1341"/>
    <w:rsid w:val="00ED2C4C"/>
    <w:rsid w:val="00ED38CC"/>
    <w:rsid w:val="00ED3E70"/>
    <w:rsid w:val="00ED5455"/>
    <w:rsid w:val="00EE1F53"/>
    <w:rsid w:val="00EE2CA7"/>
    <w:rsid w:val="00EE2F99"/>
    <w:rsid w:val="00EE305E"/>
    <w:rsid w:val="00EE3978"/>
    <w:rsid w:val="00EE4876"/>
    <w:rsid w:val="00EE56DA"/>
    <w:rsid w:val="00EE6EB6"/>
    <w:rsid w:val="00EE7074"/>
    <w:rsid w:val="00EE7BF5"/>
    <w:rsid w:val="00EF0869"/>
    <w:rsid w:val="00EF1938"/>
    <w:rsid w:val="00EF3A3A"/>
    <w:rsid w:val="00EF4B9E"/>
    <w:rsid w:val="00EF5B87"/>
    <w:rsid w:val="00EF5BD6"/>
    <w:rsid w:val="00EF679F"/>
    <w:rsid w:val="00EF700C"/>
    <w:rsid w:val="00EF7098"/>
    <w:rsid w:val="00EF7FA9"/>
    <w:rsid w:val="00F00AC3"/>
    <w:rsid w:val="00F00D28"/>
    <w:rsid w:val="00F03735"/>
    <w:rsid w:val="00F06980"/>
    <w:rsid w:val="00F06DA5"/>
    <w:rsid w:val="00F06F83"/>
    <w:rsid w:val="00F07296"/>
    <w:rsid w:val="00F10A13"/>
    <w:rsid w:val="00F1124E"/>
    <w:rsid w:val="00F12654"/>
    <w:rsid w:val="00F127E2"/>
    <w:rsid w:val="00F13B79"/>
    <w:rsid w:val="00F1541F"/>
    <w:rsid w:val="00F15923"/>
    <w:rsid w:val="00F16B66"/>
    <w:rsid w:val="00F17061"/>
    <w:rsid w:val="00F171CC"/>
    <w:rsid w:val="00F1729D"/>
    <w:rsid w:val="00F21757"/>
    <w:rsid w:val="00F236C0"/>
    <w:rsid w:val="00F247D8"/>
    <w:rsid w:val="00F25236"/>
    <w:rsid w:val="00F2536D"/>
    <w:rsid w:val="00F269D0"/>
    <w:rsid w:val="00F26D95"/>
    <w:rsid w:val="00F3087B"/>
    <w:rsid w:val="00F3211E"/>
    <w:rsid w:val="00F340FF"/>
    <w:rsid w:val="00F4039A"/>
    <w:rsid w:val="00F46D15"/>
    <w:rsid w:val="00F47862"/>
    <w:rsid w:val="00F51B23"/>
    <w:rsid w:val="00F5259E"/>
    <w:rsid w:val="00F53353"/>
    <w:rsid w:val="00F54E29"/>
    <w:rsid w:val="00F60F08"/>
    <w:rsid w:val="00F614F6"/>
    <w:rsid w:val="00F62592"/>
    <w:rsid w:val="00F628F2"/>
    <w:rsid w:val="00F65F0C"/>
    <w:rsid w:val="00F7108A"/>
    <w:rsid w:val="00F739D8"/>
    <w:rsid w:val="00F749C7"/>
    <w:rsid w:val="00F754F9"/>
    <w:rsid w:val="00F7680A"/>
    <w:rsid w:val="00F76ACE"/>
    <w:rsid w:val="00F81D5D"/>
    <w:rsid w:val="00F81F6E"/>
    <w:rsid w:val="00F826E5"/>
    <w:rsid w:val="00F83487"/>
    <w:rsid w:val="00F835BD"/>
    <w:rsid w:val="00F83A8E"/>
    <w:rsid w:val="00F83C91"/>
    <w:rsid w:val="00F8443C"/>
    <w:rsid w:val="00F8526D"/>
    <w:rsid w:val="00F8605A"/>
    <w:rsid w:val="00F90BB3"/>
    <w:rsid w:val="00F930DA"/>
    <w:rsid w:val="00F93868"/>
    <w:rsid w:val="00F96824"/>
    <w:rsid w:val="00FA072B"/>
    <w:rsid w:val="00FA07C9"/>
    <w:rsid w:val="00FA207E"/>
    <w:rsid w:val="00FA21E2"/>
    <w:rsid w:val="00FA4D24"/>
    <w:rsid w:val="00FA5226"/>
    <w:rsid w:val="00FA57E1"/>
    <w:rsid w:val="00FA6084"/>
    <w:rsid w:val="00FA6192"/>
    <w:rsid w:val="00FB1581"/>
    <w:rsid w:val="00FB331A"/>
    <w:rsid w:val="00FB3FD3"/>
    <w:rsid w:val="00FB5D15"/>
    <w:rsid w:val="00FB6DFF"/>
    <w:rsid w:val="00FC09B7"/>
    <w:rsid w:val="00FC18F6"/>
    <w:rsid w:val="00FC2982"/>
    <w:rsid w:val="00FC3E49"/>
    <w:rsid w:val="00FD1413"/>
    <w:rsid w:val="00FD30FD"/>
    <w:rsid w:val="00FD3321"/>
    <w:rsid w:val="00FD3A70"/>
    <w:rsid w:val="00FD3AEF"/>
    <w:rsid w:val="00FD53AE"/>
    <w:rsid w:val="00FD547B"/>
    <w:rsid w:val="00FD6C1E"/>
    <w:rsid w:val="00FE1219"/>
    <w:rsid w:val="00FE4AD8"/>
    <w:rsid w:val="00FE5ABC"/>
    <w:rsid w:val="00FE6AB6"/>
    <w:rsid w:val="00FF220D"/>
    <w:rsid w:val="00FF4B35"/>
    <w:rsid w:val="00FF6B5D"/>
    <w:rsid w:val="00FF76A6"/>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30CA38"/>
  <w14:defaultImageDpi w14:val="3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noProof/>
      <w:sz w:val="24"/>
    </w:rPr>
  </w:style>
  <w:style w:type="paragraph" w:styleId="Heading1">
    <w:name w:val="heading 1"/>
    <w:basedOn w:val="Normal"/>
    <w:next w:val="Normal"/>
    <w:qFormat/>
    <w:pPr>
      <w:keepNext/>
      <w:outlineLvl w:val="0"/>
    </w:pPr>
  </w:style>
  <w:style w:type="paragraph" w:styleId="Heading2">
    <w:name w:val="heading 2"/>
    <w:basedOn w:val="Normal"/>
    <w:next w:val="Normal"/>
    <w:qFormat/>
    <w:pPr>
      <w:keepNext/>
      <w:outlineLvl w:val="1"/>
    </w:pPr>
    <w:rPr>
      <w:b/>
      <w:sz w:val="22"/>
    </w:rPr>
  </w:style>
  <w:style w:type="paragraph" w:styleId="Heading3">
    <w:name w:val="heading 3"/>
    <w:basedOn w:val="Normal"/>
    <w:next w:val="Normal"/>
    <w:qFormat/>
    <w:pPr>
      <w:keepNext/>
      <w:ind w:left="720" w:hanging="720"/>
      <w:outlineLvl w:val="2"/>
    </w:pPr>
    <w:rPr>
      <w:rFonts w:ascii="Garamond" w:hAnsi="Garamond"/>
      <w:b/>
    </w:rPr>
  </w:style>
  <w:style w:type="paragraph" w:styleId="Heading4">
    <w:name w:val="heading 4"/>
    <w:basedOn w:val="Normal"/>
    <w:next w:val="Normal"/>
    <w:qFormat/>
    <w:pPr>
      <w:keepNext/>
      <w:outlineLvl w:val="3"/>
    </w:pPr>
    <w:rPr>
      <w:rFonts w:ascii="Garamond" w:hAnsi="Garamond"/>
      <w:b/>
    </w:rPr>
  </w:style>
  <w:style w:type="paragraph" w:styleId="Heading5">
    <w:name w:val="heading 5"/>
    <w:basedOn w:val="Normal"/>
    <w:next w:val="Normal"/>
    <w:qFormat/>
    <w:pPr>
      <w:keepNext/>
      <w:jc w:val="right"/>
      <w:outlineLvl w:val="4"/>
    </w:pPr>
  </w:style>
  <w:style w:type="paragraph" w:styleId="Heading6">
    <w:name w:val="heading 6"/>
    <w:basedOn w:val="Normal"/>
    <w:next w:val="Normal"/>
    <w:link w:val="Heading6Char"/>
    <w:qFormat/>
    <w:pPr>
      <w:keepNext/>
      <w:spacing w:line="240" w:lineRule="atLeast"/>
      <w:outlineLvl w:val="5"/>
    </w:pPr>
    <w:rPr>
      <w:rFonts w:ascii="Times" w:hAnsi="Times"/>
      <w:b/>
      <w:color w:val="000000"/>
    </w:rPr>
  </w:style>
  <w:style w:type="paragraph" w:styleId="Heading7">
    <w:name w:val="heading 7"/>
    <w:basedOn w:val="Normal"/>
    <w:next w:val="Normal"/>
    <w:qFormat/>
    <w:pPr>
      <w:keepNext/>
      <w:spacing w:line="240" w:lineRule="atLeast"/>
      <w:outlineLvl w:val="6"/>
    </w:pPr>
    <w:rPr>
      <w:rFonts w:ascii="Garamond" w:hAnsi="Garamond"/>
      <w:sz w:val="22"/>
      <w:u w:val="single"/>
    </w:rPr>
  </w:style>
  <w:style w:type="paragraph" w:styleId="Heading8">
    <w:name w:val="heading 8"/>
    <w:basedOn w:val="Normal"/>
    <w:next w:val="Normal"/>
    <w:qFormat/>
    <w:pPr>
      <w:keepNext/>
      <w:ind w:left="630" w:hanging="630"/>
      <w:outlineLvl w:val="7"/>
    </w:pPr>
    <w:rPr>
      <w:rFonts w:ascii="Times" w:hAnsi="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character" w:styleId="PageNumber">
    <w:name w:val="page number"/>
    <w:basedOn w:val="DefaultParagraphFont"/>
    <w:uiPriority w:val="99"/>
  </w:style>
  <w:style w:type="character" w:styleId="Hyperlink">
    <w:name w:val="Hyperlink"/>
    <w:uiPriority w:val="99"/>
    <w:rPr>
      <w:color w:val="0000FF"/>
      <w:u w:val="single"/>
    </w:rPr>
  </w:style>
  <w:style w:type="paragraph" w:styleId="BodyText">
    <w:name w:val="Body Text"/>
    <w:basedOn w:val="Normal"/>
    <w:link w:val="BodyTextChar"/>
    <w:rPr>
      <w:color w:val="000000"/>
    </w:rPr>
  </w:style>
  <w:style w:type="character" w:styleId="FollowedHyperlink">
    <w:name w:val="FollowedHyperlink"/>
    <w:rPr>
      <w:color w:val="800080"/>
      <w:u w:val="single"/>
    </w:rPr>
  </w:style>
  <w:style w:type="paragraph" w:styleId="BodyText2">
    <w:name w:val="Body Text 2"/>
    <w:basedOn w:val="Normal"/>
    <w:link w:val="BodyText2Char"/>
    <w:rPr>
      <w:sz w:val="22"/>
    </w:rPr>
  </w:style>
  <w:style w:type="paragraph" w:customStyle="1" w:styleId="HTMLBody">
    <w:name w:val="HTML Body"/>
    <w:pPr>
      <w:autoSpaceDE w:val="0"/>
      <w:autoSpaceDN w:val="0"/>
      <w:adjustRightInd w:val="0"/>
    </w:pPr>
    <w:rPr>
      <w:rFonts w:ascii="Arial" w:hAnsi="Arial"/>
      <w:noProof/>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mallCaps/>
    </w:rPr>
  </w:style>
  <w:style w:type="character" w:customStyle="1" w:styleId="pslongeditbox">
    <w:name w:val="pslongeditbox"/>
    <w:rsid w:val="00157071"/>
  </w:style>
  <w:style w:type="character" w:customStyle="1" w:styleId="FooterChar">
    <w:name w:val="Footer Char"/>
    <w:link w:val="Footer"/>
    <w:rsid w:val="00AA7758"/>
    <w:rPr>
      <w:noProof/>
      <w:sz w:val="24"/>
    </w:rPr>
  </w:style>
  <w:style w:type="paragraph" w:styleId="BodyText3">
    <w:name w:val="Body Text 3"/>
    <w:basedOn w:val="Normal"/>
    <w:link w:val="BodyText3Char"/>
    <w:uiPriority w:val="99"/>
    <w:unhideWhenUsed/>
    <w:rsid w:val="00903D05"/>
    <w:pPr>
      <w:spacing w:after="120"/>
    </w:pPr>
    <w:rPr>
      <w:sz w:val="16"/>
      <w:szCs w:val="16"/>
    </w:rPr>
  </w:style>
  <w:style w:type="character" w:customStyle="1" w:styleId="BodyText3Char">
    <w:name w:val="Body Text 3 Char"/>
    <w:link w:val="BodyText3"/>
    <w:uiPriority w:val="99"/>
    <w:rsid w:val="00903D05"/>
    <w:rPr>
      <w:noProof/>
      <w:sz w:val="16"/>
      <w:szCs w:val="16"/>
    </w:rPr>
  </w:style>
  <w:style w:type="paragraph" w:styleId="BodyTextIndent">
    <w:name w:val="Body Text Indent"/>
    <w:basedOn w:val="Normal"/>
    <w:link w:val="BodyTextIndentChar"/>
    <w:uiPriority w:val="99"/>
    <w:unhideWhenUsed/>
    <w:rsid w:val="00C11537"/>
    <w:pPr>
      <w:spacing w:after="120"/>
      <w:ind w:left="360"/>
    </w:pPr>
  </w:style>
  <w:style w:type="character" w:customStyle="1" w:styleId="BodyTextIndentChar">
    <w:name w:val="Body Text Indent Char"/>
    <w:link w:val="BodyTextIndent"/>
    <w:uiPriority w:val="99"/>
    <w:rsid w:val="00C11537"/>
    <w:rPr>
      <w:noProof/>
      <w:sz w:val="24"/>
    </w:rPr>
  </w:style>
  <w:style w:type="character" w:customStyle="1" w:styleId="italic1">
    <w:name w:val="italic1"/>
    <w:rsid w:val="00A00BFC"/>
    <w:rPr>
      <w:i/>
      <w:color w:val="000000"/>
    </w:rPr>
  </w:style>
  <w:style w:type="paragraph" w:styleId="ListParagraph">
    <w:name w:val="List Paragraph"/>
    <w:basedOn w:val="Normal"/>
    <w:uiPriority w:val="34"/>
    <w:qFormat/>
    <w:rsid w:val="00A00BFC"/>
    <w:pPr>
      <w:ind w:left="720"/>
      <w:contextualSpacing/>
    </w:pPr>
    <w:rPr>
      <w:rFonts w:ascii="Cambria" w:eastAsia="MS Mincho" w:hAnsi="Cambria"/>
      <w:noProof w:val="0"/>
      <w:szCs w:val="24"/>
    </w:rPr>
  </w:style>
  <w:style w:type="character" w:customStyle="1" w:styleId="Heading6Char">
    <w:name w:val="Heading 6 Char"/>
    <w:link w:val="Heading6"/>
    <w:rsid w:val="009F6F61"/>
    <w:rPr>
      <w:rFonts w:ascii="Times" w:hAnsi="Times"/>
      <w:b/>
      <w:noProof/>
      <w:color w:val="000000"/>
      <w:sz w:val="24"/>
    </w:rPr>
  </w:style>
  <w:style w:type="character" w:customStyle="1" w:styleId="BodyText2Char">
    <w:name w:val="Body Text 2 Char"/>
    <w:link w:val="BodyText2"/>
    <w:rsid w:val="009F6F61"/>
    <w:rPr>
      <w:noProof/>
      <w:sz w:val="22"/>
    </w:rPr>
  </w:style>
  <w:style w:type="character" w:styleId="Emphasis">
    <w:name w:val="Emphasis"/>
    <w:uiPriority w:val="20"/>
    <w:qFormat/>
    <w:rsid w:val="0008590A"/>
    <w:rPr>
      <w:i/>
      <w:iCs/>
    </w:rPr>
  </w:style>
  <w:style w:type="character" w:customStyle="1" w:styleId="cite">
    <w:name w:val="cite"/>
    <w:rsid w:val="008E5B4F"/>
  </w:style>
  <w:style w:type="paragraph" w:customStyle="1" w:styleId="Default">
    <w:name w:val="Default"/>
    <w:rsid w:val="00531222"/>
    <w:pPr>
      <w:widowControl w:val="0"/>
      <w:autoSpaceDE w:val="0"/>
      <w:autoSpaceDN w:val="0"/>
      <w:adjustRightInd w:val="0"/>
    </w:pPr>
    <w:rPr>
      <w:rFonts w:ascii="Code" w:hAnsi="Code" w:cs="Code"/>
      <w:color w:val="000000"/>
      <w:sz w:val="24"/>
      <w:szCs w:val="24"/>
    </w:rPr>
  </w:style>
  <w:style w:type="character" w:styleId="CommentReference">
    <w:name w:val="annotation reference"/>
    <w:basedOn w:val="DefaultParagraphFont"/>
    <w:uiPriority w:val="99"/>
    <w:semiHidden/>
    <w:unhideWhenUsed/>
    <w:rsid w:val="001D24BE"/>
    <w:rPr>
      <w:sz w:val="18"/>
      <w:szCs w:val="18"/>
    </w:rPr>
  </w:style>
  <w:style w:type="paragraph" w:styleId="CommentText">
    <w:name w:val="annotation text"/>
    <w:basedOn w:val="Normal"/>
    <w:link w:val="CommentTextChar"/>
    <w:uiPriority w:val="99"/>
    <w:unhideWhenUsed/>
    <w:rsid w:val="001D24BE"/>
    <w:rPr>
      <w:szCs w:val="24"/>
    </w:rPr>
  </w:style>
  <w:style w:type="character" w:customStyle="1" w:styleId="CommentTextChar">
    <w:name w:val="Comment Text Char"/>
    <w:basedOn w:val="DefaultParagraphFont"/>
    <w:link w:val="CommentText"/>
    <w:uiPriority w:val="99"/>
    <w:rsid w:val="001D24BE"/>
    <w:rPr>
      <w:noProof/>
      <w:sz w:val="24"/>
      <w:szCs w:val="24"/>
    </w:rPr>
  </w:style>
  <w:style w:type="paragraph" w:styleId="CommentSubject">
    <w:name w:val="annotation subject"/>
    <w:basedOn w:val="CommentText"/>
    <w:next w:val="CommentText"/>
    <w:link w:val="CommentSubjectChar"/>
    <w:uiPriority w:val="99"/>
    <w:semiHidden/>
    <w:unhideWhenUsed/>
    <w:rsid w:val="001D24BE"/>
    <w:rPr>
      <w:b/>
      <w:bCs/>
      <w:sz w:val="20"/>
      <w:szCs w:val="20"/>
    </w:rPr>
  </w:style>
  <w:style w:type="character" w:customStyle="1" w:styleId="CommentSubjectChar">
    <w:name w:val="Comment Subject Char"/>
    <w:basedOn w:val="CommentTextChar"/>
    <w:link w:val="CommentSubject"/>
    <w:uiPriority w:val="99"/>
    <w:semiHidden/>
    <w:rsid w:val="001D24BE"/>
    <w:rPr>
      <w:b/>
      <w:bCs/>
      <w:noProof/>
      <w:sz w:val="24"/>
      <w:szCs w:val="24"/>
    </w:rPr>
  </w:style>
  <w:style w:type="paragraph" w:styleId="BalloonText">
    <w:name w:val="Balloon Text"/>
    <w:basedOn w:val="Normal"/>
    <w:link w:val="BalloonTextChar"/>
    <w:uiPriority w:val="99"/>
    <w:semiHidden/>
    <w:unhideWhenUsed/>
    <w:rsid w:val="001D24BE"/>
    <w:rPr>
      <w:sz w:val="18"/>
      <w:szCs w:val="18"/>
    </w:rPr>
  </w:style>
  <w:style w:type="character" w:customStyle="1" w:styleId="BalloonTextChar">
    <w:name w:val="Balloon Text Char"/>
    <w:basedOn w:val="DefaultParagraphFont"/>
    <w:link w:val="BalloonText"/>
    <w:uiPriority w:val="99"/>
    <w:semiHidden/>
    <w:rsid w:val="001D24BE"/>
    <w:rPr>
      <w:noProof/>
      <w:sz w:val="18"/>
      <w:szCs w:val="18"/>
    </w:rPr>
  </w:style>
  <w:style w:type="character" w:customStyle="1" w:styleId="BodyTextChar">
    <w:name w:val="Body Text Char"/>
    <w:basedOn w:val="DefaultParagraphFont"/>
    <w:link w:val="BodyText"/>
    <w:rsid w:val="00F754F9"/>
    <w:rPr>
      <w:noProof/>
      <w:color w:val="000000"/>
      <w:sz w:val="24"/>
    </w:rPr>
  </w:style>
  <w:style w:type="character" w:customStyle="1" w:styleId="UnresolvedMention1">
    <w:name w:val="Unresolved Mention1"/>
    <w:basedOn w:val="DefaultParagraphFont"/>
    <w:uiPriority w:val="99"/>
    <w:rsid w:val="00AA3DFC"/>
    <w:rPr>
      <w:color w:val="605E5C"/>
      <w:shd w:val="clear" w:color="auto" w:fill="E1DFDD"/>
    </w:rPr>
  </w:style>
  <w:style w:type="table" w:styleId="TableGrid">
    <w:name w:val="Table Grid"/>
    <w:basedOn w:val="TableNormal"/>
    <w:uiPriority w:val="59"/>
    <w:rsid w:val="004304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lockText">
    <w:name w:val="Block Text"/>
    <w:basedOn w:val="Normal"/>
    <w:rsid w:val="00645ADD"/>
    <w:pPr>
      <w:spacing w:line="240" w:lineRule="atLeast"/>
      <w:ind w:left="720" w:right="720"/>
    </w:pPr>
    <w:rPr>
      <w:rFonts w:ascii="Times" w:hAnsi="Time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738120">
      <w:bodyDiv w:val="1"/>
      <w:marLeft w:val="0"/>
      <w:marRight w:val="0"/>
      <w:marTop w:val="0"/>
      <w:marBottom w:val="0"/>
      <w:divBdr>
        <w:top w:val="none" w:sz="0" w:space="0" w:color="auto"/>
        <w:left w:val="none" w:sz="0" w:space="0" w:color="auto"/>
        <w:bottom w:val="none" w:sz="0" w:space="0" w:color="auto"/>
        <w:right w:val="none" w:sz="0" w:space="0" w:color="auto"/>
      </w:divBdr>
    </w:div>
    <w:div w:id="586117594">
      <w:bodyDiv w:val="1"/>
      <w:marLeft w:val="0"/>
      <w:marRight w:val="0"/>
      <w:marTop w:val="0"/>
      <w:marBottom w:val="0"/>
      <w:divBdr>
        <w:top w:val="none" w:sz="0" w:space="0" w:color="auto"/>
        <w:left w:val="none" w:sz="0" w:space="0" w:color="auto"/>
        <w:bottom w:val="none" w:sz="0" w:space="0" w:color="auto"/>
        <w:right w:val="none" w:sz="0" w:space="0" w:color="auto"/>
      </w:divBdr>
    </w:div>
    <w:div w:id="697700932">
      <w:bodyDiv w:val="1"/>
      <w:marLeft w:val="0"/>
      <w:marRight w:val="0"/>
      <w:marTop w:val="0"/>
      <w:marBottom w:val="0"/>
      <w:divBdr>
        <w:top w:val="none" w:sz="0" w:space="0" w:color="auto"/>
        <w:left w:val="none" w:sz="0" w:space="0" w:color="auto"/>
        <w:bottom w:val="none" w:sz="0" w:space="0" w:color="auto"/>
        <w:right w:val="none" w:sz="0" w:space="0" w:color="auto"/>
      </w:divBdr>
      <w:divsChild>
        <w:div w:id="2141148730">
          <w:marLeft w:val="0"/>
          <w:marRight w:val="0"/>
          <w:marTop w:val="0"/>
          <w:marBottom w:val="0"/>
          <w:divBdr>
            <w:top w:val="none" w:sz="0" w:space="0" w:color="auto"/>
            <w:left w:val="none" w:sz="0" w:space="0" w:color="auto"/>
            <w:bottom w:val="none" w:sz="0" w:space="0" w:color="auto"/>
            <w:right w:val="none" w:sz="0" w:space="0" w:color="auto"/>
          </w:divBdr>
        </w:div>
        <w:div w:id="325980339">
          <w:marLeft w:val="0"/>
          <w:marRight w:val="0"/>
          <w:marTop w:val="0"/>
          <w:marBottom w:val="0"/>
          <w:divBdr>
            <w:top w:val="none" w:sz="0" w:space="0" w:color="auto"/>
            <w:left w:val="none" w:sz="0" w:space="0" w:color="auto"/>
            <w:bottom w:val="none" w:sz="0" w:space="0" w:color="auto"/>
            <w:right w:val="none" w:sz="0" w:space="0" w:color="auto"/>
          </w:divBdr>
        </w:div>
        <w:div w:id="542910338">
          <w:marLeft w:val="0"/>
          <w:marRight w:val="0"/>
          <w:marTop w:val="0"/>
          <w:marBottom w:val="0"/>
          <w:divBdr>
            <w:top w:val="none" w:sz="0" w:space="0" w:color="auto"/>
            <w:left w:val="none" w:sz="0" w:space="0" w:color="auto"/>
            <w:bottom w:val="none" w:sz="0" w:space="0" w:color="auto"/>
            <w:right w:val="none" w:sz="0" w:space="0" w:color="auto"/>
          </w:divBdr>
        </w:div>
        <w:div w:id="875697451">
          <w:marLeft w:val="0"/>
          <w:marRight w:val="0"/>
          <w:marTop w:val="0"/>
          <w:marBottom w:val="0"/>
          <w:divBdr>
            <w:top w:val="none" w:sz="0" w:space="0" w:color="auto"/>
            <w:left w:val="none" w:sz="0" w:space="0" w:color="auto"/>
            <w:bottom w:val="none" w:sz="0" w:space="0" w:color="auto"/>
            <w:right w:val="none" w:sz="0" w:space="0" w:color="auto"/>
          </w:divBdr>
        </w:div>
      </w:divsChild>
    </w:div>
    <w:div w:id="734353585">
      <w:bodyDiv w:val="1"/>
      <w:marLeft w:val="0"/>
      <w:marRight w:val="0"/>
      <w:marTop w:val="0"/>
      <w:marBottom w:val="0"/>
      <w:divBdr>
        <w:top w:val="none" w:sz="0" w:space="0" w:color="auto"/>
        <w:left w:val="none" w:sz="0" w:space="0" w:color="auto"/>
        <w:bottom w:val="none" w:sz="0" w:space="0" w:color="auto"/>
        <w:right w:val="none" w:sz="0" w:space="0" w:color="auto"/>
      </w:divBdr>
    </w:div>
    <w:div w:id="897743700">
      <w:bodyDiv w:val="1"/>
      <w:marLeft w:val="0"/>
      <w:marRight w:val="0"/>
      <w:marTop w:val="0"/>
      <w:marBottom w:val="0"/>
      <w:divBdr>
        <w:top w:val="none" w:sz="0" w:space="0" w:color="auto"/>
        <w:left w:val="none" w:sz="0" w:space="0" w:color="auto"/>
        <w:bottom w:val="none" w:sz="0" w:space="0" w:color="auto"/>
        <w:right w:val="none" w:sz="0" w:space="0" w:color="auto"/>
      </w:divBdr>
    </w:div>
    <w:div w:id="925959639">
      <w:bodyDiv w:val="1"/>
      <w:marLeft w:val="0"/>
      <w:marRight w:val="0"/>
      <w:marTop w:val="0"/>
      <w:marBottom w:val="0"/>
      <w:divBdr>
        <w:top w:val="none" w:sz="0" w:space="0" w:color="auto"/>
        <w:left w:val="none" w:sz="0" w:space="0" w:color="auto"/>
        <w:bottom w:val="none" w:sz="0" w:space="0" w:color="auto"/>
        <w:right w:val="none" w:sz="0" w:space="0" w:color="auto"/>
      </w:divBdr>
    </w:div>
    <w:div w:id="159639992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webSettings>
</file>

<file path=word/_rels/document.xml.rels><?xml version="1.0" encoding="UTF-8" standalone="yes"?>
<Relationships xmlns="http://schemas.openxmlformats.org/package/2006/relationships"><Relationship Id="rId46" Type="http://schemas.openxmlformats.org/officeDocument/2006/relationships/hyperlink" Target="https://search.library.wisc.edu/catalog/9911171239902121" TargetMode="External"/><Relationship Id="rId47" Type="http://schemas.openxmlformats.org/officeDocument/2006/relationships/hyperlink" Target="https://search.library.wisc.edu/catalog/9911171239902121" TargetMode="External"/><Relationship Id="rId48" Type="http://schemas.openxmlformats.org/officeDocument/2006/relationships/hyperlink" Target="https://fathomjournal.org/intersectionality-and-antisemitism-a-new-approach/" TargetMode="External"/><Relationship Id="rId49" Type="http://schemas.openxmlformats.org/officeDocument/2006/relationships/hyperlink" Target="https://search.library.wisc.edu/catalog/9912388612702121" TargetMode="External"/><Relationship Id="rId20" Type="http://schemas.openxmlformats.org/officeDocument/2006/relationships/hyperlink" Target="https://search.library.wisc.edu/catalog/9912980748802121" TargetMode="External"/><Relationship Id="rId21" Type="http://schemas.openxmlformats.org/officeDocument/2006/relationships/hyperlink" Target="https://search.library.wisc.edu/catalog/9913898260602121" TargetMode="External"/><Relationship Id="rId22" Type="http://schemas.openxmlformats.org/officeDocument/2006/relationships/hyperlink" Target="https://search.library.wisc.edu/catalog/9912870234702121" TargetMode="External"/><Relationship Id="rId23" Type="http://schemas.openxmlformats.org/officeDocument/2006/relationships/hyperlink" Target="https://search.library.wisc.edu/catalog/9912388612702121" TargetMode="External"/><Relationship Id="rId24" Type="http://schemas.openxmlformats.org/officeDocument/2006/relationships/hyperlink" Target="https://search.library.wisc.edu/catalog/9910120823702121" TargetMode="External"/><Relationship Id="rId25" Type="http://schemas.openxmlformats.org/officeDocument/2006/relationships/hyperlink" Target="https://search.library.wisc.edu/catalog/9911042869802121" TargetMode="External"/><Relationship Id="rId26" Type="http://schemas.openxmlformats.org/officeDocument/2006/relationships/hyperlink" Target="https://search.library.wisc.edu/catalog/9913181374802121" TargetMode="External"/><Relationship Id="rId27" Type="http://schemas.openxmlformats.org/officeDocument/2006/relationships/hyperlink" Target="https://search.library.wisc.edu/catalog/9910210278502121" TargetMode="External"/><Relationship Id="rId28" Type="http://schemas.openxmlformats.org/officeDocument/2006/relationships/hyperlink" Target="https://search.library.wisc.edu/catalog/9910120823702121" TargetMode="External"/><Relationship Id="rId29" Type="http://schemas.openxmlformats.org/officeDocument/2006/relationships/hyperlink" Target="https://search.library.wisc.edu/catalog/9911042869802121" TargetMode="External"/><Relationship Id="rId50" Type="http://schemas.openxmlformats.org/officeDocument/2006/relationships/fontTable" Target="fontTable.xml"/><Relationship Id="rId5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s://search.library.wisc.edu/catalog/9912589168802121" TargetMode="External"/><Relationship Id="rId31" Type="http://schemas.openxmlformats.org/officeDocument/2006/relationships/hyperlink" Target="https://search.library.wisc.edu/catalog/9912870234702121" TargetMode="External"/><Relationship Id="rId32" Type="http://schemas.openxmlformats.org/officeDocument/2006/relationships/hyperlink" Target="https://search.library.wisc.edu/catalog/9911115126702121" TargetMode="External"/><Relationship Id="rId9" Type="http://schemas.openxmlformats.org/officeDocument/2006/relationships/footer" Target="footer2.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33" Type="http://schemas.openxmlformats.org/officeDocument/2006/relationships/hyperlink" Target="https://www.adl.org/resources/report/adl-hillel-campus-antisemitism-survey-2021" TargetMode="External"/><Relationship Id="rId34" Type="http://schemas.openxmlformats.org/officeDocument/2006/relationships/hyperlink" Target="https://www.adl.org/resources/report/antisemitic-attitudes-america-topline-findings" TargetMode="External"/><Relationship Id="rId35" Type="http://schemas.openxmlformats.org/officeDocument/2006/relationships/hyperlink" Target="https://www.adl.org/resources/report/audit-antisemitic-incidents-2022" TargetMode="External"/><Relationship Id="rId36" Type="http://schemas.openxmlformats.org/officeDocument/2006/relationships/hyperlink" Target="https://www.adl.org/resources/backgrounder/great-replacement-explainer" TargetMode="External"/><Relationship Id="rId10" Type="http://schemas.openxmlformats.org/officeDocument/2006/relationships/hyperlink" Target="https://mcburney.wisc.edu/" TargetMode="External"/><Relationship Id="rId11" Type="http://schemas.openxmlformats.org/officeDocument/2006/relationships/hyperlink" Target="https://kb.wisc.edu/page.php?id=21698" TargetMode="External"/><Relationship Id="rId12" Type="http://schemas.openxmlformats.org/officeDocument/2006/relationships/hyperlink" Target="https://conduct.students.wisc.edu/academic-misconduct/" TargetMode="External"/><Relationship Id="rId13" Type="http://schemas.openxmlformats.org/officeDocument/2006/relationships/hyperlink" Target="https://search.library.wisc.edu/catalog/999907668502121" TargetMode="External"/><Relationship Id="rId14" Type="http://schemas.openxmlformats.org/officeDocument/2006/relationships/hyperlink" Target="https://search.library.wisc.edu/catalog/9911115126702121" TargetMode="External"/><Relationship Id="rId15" Type="http://schemas.openxmlformats.org/officeDocument/2006/relationships/hyperlink" Target="https://search.library.wisc.edu/catalog/9913185565302121" TargetMode="External"/><Relationship Id="rId16" Type="http://schemas.openxmlformats.org/officeDocument/2006/relationships/hyperlink" Target="https://search.library.wisc.edu/catalog/9911042869802121" TargetMode="External"/><Relationship Id="rId17" Type="http://schemas.openxmlformats.org/officeDocument/2006/relationships/hyperlink" Target="https://search.library.wisc.edu/catalog/9911029731502121" TargetMode="External"/><Relationship Id="rId18" Type="http://schemas.openxmlformats.org/officeDocument/2006/relationships/hyperlink" Target="https://search.library.wisc.edu/catalog/9911029731502121" TargetMode="External"/><Relationship Id="rId19" Type="http://schemas.openxmlformats.org/officeDocument/2006/relationships/hyperlink" Target="https://search.library.wisc.edu/catalog/9911042869802121" TargetMode="External"/><Relationship Id="rId37" Type="http://schemas.openxmlformats.org/officeDocument/2006/relationships/hyperlink" Target="https://www.splcenter.org/about/staff/eric-k-ward" TargetMode="External"/><Relationship Id="rId38" Type="http://schemas.openxmlformats.org/officeDocument/2006/relationships/hyperlink" Target="https://politicalresearch.org/2017/06/29/skin-in-the-game-how-antisemitism-animates-white-nationalism" TargetMode="External"/><Relationship Id="rId39" Type="http://schemas.openxmlformats.org/officeDocument/2006/relationships/hyperlink" Target="https://www.adl.org/resources/report/us-white-supremacist-propaganda-remained-historic-levels-2021-27-percent-rise" TargetMode="External"/><Relationship Id="rId40" Type="http://schemas.openxmlformats.org/officeDocument/2006/relationships/hyperlink" Target="https://search.library.wisc.edu/catalog/9912589168802121" TargetMode="External"/><Relationship Id="rId41" Type="http://schemas.openxmlformats.org/officeDocument/2006/relationships/hyperlink" Target="https://search.library.wisc.edu/catalog/9911188569502121" TargetMode="External"/><Relationship Id="rId42" Type="http://schemas.openxmlformats.org/officeDocument/2006/relationships/hyperlink" Target="https://search.library.wisc.edu/catalog/9912206862702121" TargetMode="External"/><Relationship Id="rId43" Type="http://schemas.openxmlformats.org/officeDocument/2006/relationships/hyperlink" Target="https://www.holocaustremembrance.com/resources/working-definitions-charters/working-definition-antisemitism" TargetMode="External"/><Relationship Id="rId44" Type="http://schemas.openxmlformats.org/officeDocument/2006/relationships/hyperlink" Target="https://search.library.wisc.edu/catalog/991013435595702124" TargetMode="External"/><Relationship Id="rId45" Type="http://schemas.openxmlformats.org/officeDocument/2006/relationships/hyperlink" Target="https://search.library.wisc.edu/catalog/9912183692702121"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cgoldber@ssc.wisc.edu" TargetMode="External"/><Relationship Id="rId2" Type="http://schemas.openxmlformats.org/officeDocument/2006/relationships/hyperlink" Target="https://calendly.com/cagoldberg/officeho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3674</Words>
  <Characters>21496</Characters>
  <Application>Microsoft Macintosh Word</Application>
  <DocSecurity>8</DocSecurity>
  <Lines>298</Lines>
  <Paragraphs>39</Paragraphs>
  <ScaleCrop>false</ScaleCrop>
  <HeadingPairs>
    <vt:vector size="2" baseType="variant">
      <vt:variant>
        <vt:lpstr>Title</vt:lpstr>
      </vt:variant>
      <vt:variant>
        <vt:i4>1</vt:i4>
      </vt:variant>
    </vt:vector>
  </HeadingPairs>
  <TitlesOfParts>
    <vt:vector size="1" baseType="lpstr">
      <vt:lpstr>Classical Sociological Theory</vt:lpstr>
    </vt:vector>
  </TitlesOfParts>
  <Manager/>
  <Company/>
  <LinksUpToDate>false</LinksUpToDate>
  <CharactersWithSpaces>25131</CharactersWithSpaces>
  <SharedDoc>false</SharedDoc>
  <HyperlinkBase/>
  <HLinks>
    <vt:vector size="18" baseType="variant">
      <vt:variant>
        <vt:i4>2293851</vt:i4>
      </vt:variant>
      <vt:variant>
        <vt:i4>6</vt:i4>
      </vt:variant>
      <vt:variant>
        <vt:i4>0</vt:i4>
      </vt:variant>
      <vt:variant>
        <vt:i4>5</vt:i4>
      </vt:variant>
      <vt:variant>
        <vt:lpwstr>http://www.wisc.edu/students/saja/misconduct/UWS14.html</vt:lpwstr>
      </vt:variant>
      <vt:variant>
        <vt:lpwstr/>
      </vt:variant>
      <vt:variant>
        <vt:i4>7077983</vt:i4>
      </vt:variant>
      <vt:variant>
        <vt:i4>3</vt:i4>
      </vt:variant>
      <vt:variant>
        <vt:i4>0</vt:i4>
      </vt:variant>
      <vt:variant>
        <vt:i4>5</vt:i4>
      </vt:variant>
      <vt:variant>
        <vt:lpwstr>http://www.turnitin.com</vt:lpwstr>
      </vt:variant>
      <vt:variant>
        <vt:lpwstr/>
      </vt:variant>
      <vt:variant>
        <vt:i4>6815759</vt:i4>
      </vt:variant>
      <vt:variant>
        <vt:i4>0</vt:i4>
      </vt:variant>
      <vt:variant>
        <vt:i4>0</vt:i4>
      </vt:variant>
      <vt:variant>
        <vt:i4>5</vt:i4>
      </vt:variant>
      <vt:variant>
        <vt:lpwstr>mailto:cgoldber@ssc.wisc.edu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Classical Sociological Theory</dc:title>
  <dc:subject/>
  <dc:creator/>
  <cp:keywords/>
  <dc:description/>
  <cp:lastModifiedBy/>
  <cp:revision>1</cp:revision>
  <cp:lastPrinted>2006-08-31T05:46:00Z</cp:lastPrinted>
  <dcterms:created xsi:type="dcterms:W3CDTF">2023-01-20T20:10:00Z</dcterms:created>
  <dcterms:modified xsi:type="dcterms:W3CDTF">2023-08-24T20:32:00Z</dcterms:modified>
  <cp:category/>
</cp:coreProperties>
</file>